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13" w:leftChars="0" w:firstLine="13" w:firstLineChars="0"/>
        <w:jc w:val="center"/>
        <w:rPr>
          <w:rFonts w:ascii="Gotham Pro" w:hAnsi="Gotham Pro" w:cs="Gotham Pro"/>
          <w:b/>
          <w:sz w:val="32"/>
          <w:szCs w:val="32"/>
        </w:rPr>
      </w:pPr>
    </w:p>
    <w:p>
      <w:pPr>
        <w:ind w:left="0" w:leftChars="0" w:firstLine="0" w:firstLineChars="0"/>
        <w:jc w:val="center"/>
        <w:rPr>
          <w:rFonts w:ascii="Gotham Pro" w:hAnsi="Gotham Pro" w:cs="Gotham Pro"/>
          <w:b/>
          <w:sz w:val="32"/>
          <w:szCs w:val="32"/>
        </w:rPr>
      </w:pPr>
    </w:p>
    <w:tbl>
      <w:tblPr>
        <w:tblStyle w:val="3"/>
        <w:tblpPr w:leftFromText="180" w:rightFromText="180" w:vertAnchor="text" w:horzAnchor="page" w:tblpX="6788" w:tblpY="45"/>
        <w:tblW w:w="4752" w:type="dxa"/>
        <w:tblInd w:w="0" w:type="dxa"/>
        <w:tblLayout w:type="fixed"/>
        <w:tblCellMar>
          <w:top w:w="0" w:type="dxa"/>
          <w:left w:w="108" w:type="dxa"/>
          <w:bottom w:w="0" w:type="dxa"/>
          <w:right w:w="108" w:type="dxa"/>
        </w:tblCellMar>
      </w:tblPr>
      <w:tblGrid>
        <w:gridCol w:w="4752"/>
      </w:tblGrid>
      <w:tr>
        <w:tblPrEx>
          <w:tblCellMar>
            <w:top w:w="0" w:type="dxa"/>
            <w:left w:w="108" w:type="dxa"/>
            <w:bottom w:w="0" w:type="dxa"/>
            <w:right w:w="108" w:type="dxa"/>
          </w:tblCellMar>
        </w:tblPrEx>
        <w:trPr>
          <w:trHeight w:val="603" w:hRule="atLeast"/>
        </w:trPr>
        <w:tc>
          <w:tcPr>
            <w:tcW w:w="4752" w:type="dxa"/>
            <w:noWrap w:val="0"/>
            <w:vAlign w:val="top"/>
          </w:tcPr>
          <w:p>
            <w:pPr>
              <w:pStyle w:val="11"/>
              <w:spacing w:line="240" w:lineRule="auto"/>
              <w:rPr>
                <w:rFonts w:hint="default" w:ascii="Gotham Pro" w:hAnsi="Gotham Pro" w:cs="Gotham Pro"/>
                <w:sz w:val="24"/>
                <w:szCs w:val="24"/>
                <w:lang w:val="ru-RU"/>
              </w:rPr>
            </w:pPr>
            <w:bookmarkStart w:id="0" w:name="_Hlk132696507"/>
            <w:r>
              <w:rPr>
                <w:rFonts w:hint="default" w:ascii="Gotham Pro" w:hAnsi="Gotham Pro" w:cs="Gotham Pro"/>
                <w:sz w:val="24"/>
                <w:szCs w:val="24"/>
                <w:lang w:val="ru-RU"/>
              </w:rPr>
              <w:t xml:space="preserve">Утверждён Решением Совета депутатов муниципального образования </w:t>
            </w:r>
          </w:p>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«_____________________________»</w:t>
            </w:r>
          </w:p>
          <w:p>
            <w:pPr>
              <w:pStyle w:val="11"/>
              <w:spacing w:line="240" w:lineRule="auto"/>
              <w:rPr>
                <w:rFonts w:hint="default" w:ascii="Gotham Pro" w:hAnsi="Gotham Pro" w:cs="Gotham Pro"/>
                <w:sz w:val="24"/>
                <w:szCs w:val="24"/>
                <w:lang w:val="ru-RU"/>
              </w:rPr>
            </w:pPr>
            <w:r>
              <w:rPr>
                <w:rFonts w:hint="default" w:ascii="Gotham Pro" w:hAnsi="Gotham Pro" w:cs="Gotham Pro"/>
                <w:sz w:val="24"/>
                <w:szCs w:val="24"/>
                <w:lang w:val="ru-RU"/>
              </w:rPr>
              <w:t>от ____ __________ 202__ № _____</w:t>
            </w:r>
          </w:p>
        </w:tc>
      </w:tr>
    </w:tbl>
    <w:p>
      <w:pPr>
        <w:pStyle w:val="11"/>
        <w:jc w:val="both"/>
        <w:rPr>
          <w:b/>
        </w:rPr>
      </w:pPr>
      <w:r>
        <w:rPr>
          <w:b/>
        </w:rPr>
        <w:drawing>
          <wp:inline distT="0" distB="0" distL="114300" distR="114300">
            <wp:extent cx="1810385" cy="2258060"/>
            <wp:effectExtent l="0" t="0" r="3175" b="12700"/>
            <wp:docPr id="2" name="Изображение 1" descr="Герб цв для поло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1" descr="Герб цв для положения"/>
                    <pic:cNvPicPr>
                      <a:picLocks noChangeAspect="1"/>
                    </pic:cNvPicPr>
                  </pic:nvPicPr>
                  <pic:blipFill>
                    <a:blip r:embed="rId9"/>
                    <a:stretch>
                      <a:fillRect/>
                    </a:stretch>
                  </pic:blipFill>
                  <pic:spPr>
                    <a:xfrm>
                      <a:off x="0" y="0"/>
                      <a:ext cx="1810385" cy="2258060"/>
                    </a:xfrm>
                    <a:prstGeom prst="rect">
                      <a:avLst/>
                    </a:prstGeom>
                    <a:noFill/>
                    <a:ln>
                      <a:noFill/>
                    </a:ln>
                  </pic:spPr>
                </pic:pic>
              </a:graphicData>
            </a:graphic>
          </wp:inline>
        </w:drawing>
      </w:r>
    </w:p>
    <w:p>
      <w:pPr>
        <w:pStyle w:val="11"/>
        <w:jc w:val="both"/>
        <w:rPr>
          <w:b/>
        </w:rPr>
      </w:pPr>
    </w:p>
    <w:p>
      <w:pPr>
        <w:pStyle w:val="11"/>
        <w:jc w:val="both"/>
        <w:rPr>
          <w:b/>
        </w:rPr>
      </w:pPr>
    </w:p>
    <w:p>
      <w:pPr>
        <w:pStyle w:val="11"/>
        <w:jc w:val="both"/>
        <w:rPr>
          <w:rFonts w:ascii="Times New Roman" w:hAnsi="Times New Roman" w:cs="Times New Roman"/>
          <w:b/>
          <w:bCs/>
          <w:sz w:val="40"/>
          <w:szCs w:val="40"/>
        </w:rPr>
      </w:pPr>
    </w:p>
    <w:bookmarkEnd w:id="0"/>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hint="default" w:ascii="Gotham Pro" w:hAnsi="Gotham Pro" w:cs="Gotham Pro"/>
          <w:b/>
          <w:bCs/>
          <w:sz w:val="40"/>
          <w:szCs w:val="40"/>
        </w:rPr>
      </w:pPr>
      <w:r>
        <w:rPr>
          <w:rFonts w:hint="default" w:ascii="Gotham Pro" w:hAnsi="Gotham Pro" w:cs="Gotham Pro"/>
          <w:b/>
          <w:bCs/>
          <w:sz w:val="40"/>
          <w:szCs w:val="40"/>
        </w:rPr>
        <w:t>Внесение изменений</w:t>
      </w:r>
    </w:p>
    <w:p>
      <w:pPr>
        <w:pStyle w:val="11"/>
        <w:jc w:val="center"/>
        <w:rPr>
          <w:rFonts w:hint="default" w:ascii="Gotham Pro" w:hAnsi="Gotham Pro" w:cs="Gotham Pro"/>
          <w:b/>
          <w:bCs/>
          <w:sz w:val="40"/>
          <w:szCs w:val="40"/>
        </w:rPr>
      </w:pPr>
      <w:r>
        <w:rPr>
          <w:rFonts w:hint="default" w:ascii="Gotham Pro" w:hAnsi="Gotham Pro" w:cs="Gotham Pro"/>
          <w:b/>
          <w:bCs/>
          <w:sz w:val="40"/>
          <w:szCs w:val="40"/>
        </w:rPr>
        <w:t xml:space="preserve">в генеральный план муниципального образования сельского поселения </w:t>
      </w:r>
    </w:p>
    <w:p>
      <w:pPr>
        <w:pStyle w:val="11"/>
        <w:jc w:val="center"/>
        <w:rPr>
          <w:rFonts w:hint="default" w:ascii="Gotham Pro" w:hAnsi="Gotham Pro" w:cs="Gotham Pro"/>
          <w:b/>
          <w:bCs/>
          <w:sz w:val="40"/>
          <w:szCs w:val="40"/>
        </w:rPr>
      </w:pPr>
      <w:r>
        <w:rPr>
          <w:rFonts w:hint="default" w:ascii="Gotham Pro" w:hAnsi="Gotham Pro" w:cs="Gotham Pro"/>
          <w:b/>
          <w:bCs/>
          <w:sz w:val="40"/>
          <w:szCs w:val="40"/>
        </w:rPr>
        <w:t>«Сосново-Озерское» Еравнинского района Республики Бурятия</w:t>
      </w:r>
    </w:p>
    <w:p>
      <w:pPr>
        <w:pStyle w:val="11"/>
        <w:jc w:val="center"/>
        <w:rPr>
          <w:rFonts w:ascii="Times New Roman" w:hAnsi="Times New Roman" w:cs="Times New Roman"/>
          <w:sz w:val="36"/>
          <w:szCs w:val="36"/>
        </w:rPr>
      </w:pPr>
    </w:p>
    <w:p>
      <w:pPr>
        <w:pStyle w:val="11"/>
        <w:jc w:val="center"/>
        <w:rPr>
          <w:rFonts w:hint="default" w:ascii="Gotham Pro" w:hAnsi="Gotham Pro" w:cs="Gotham Pro"/>
          <w:sz w:val="32"/>
          <w:szCs w:val="32"/>
        </w:rPr>
      </w:pPr>
      <w:r>
        <w:rPr>
          <w:rFonts w:hint="default" w:ascii="Gotham Pro" w:hAnsi="Gotham Pro" w:cs="Gotham Pro"/>
          <w:sz w:val="32"/>
          <w:szCs w:val="32"/>
        </w:rPr>
        <w:t xml:space="preserve">Том </w:t>
      </w:r>
      <w:r>
        <w:rPr>
          <w:rFonts w:hint="default" w:ascii="Gotham Pro" w:hAnsi="Gotham Pro" w:cs="Gotham Pro"/>
          <w:sz w:val="32"/>
          <w:szCs w:val="32"/>
          <w:lang w:val="en-US"/>
        </w:rPr>
        <w:t>II</w:t>
      </w:r>
      <w:r>
        <w:rPr>
          <w:rFonts w:hint="default" w:ascii="Gotham Pro" w:hAnsi="Gotham Pro" w:cs="Gotham Pro"/>
          <w:sz w:val="32"/>
          <w:szCs w:val="32"/>
        </w:rPr>
        <w:t>. Материалы по обоснованию</w:t>
      </w: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both"/>
        <w:rPr>
          <w:rFonts w:ascii="Times New Roman" w:hAnsi="Times New Roman"/>
          <w:sz w:val="28"/>
          <w:szCs w:val="28"/>
        </w:rPr>
      </w:pPr>
    </w:p>
    <w:p>
      <w:pPr>
        <w:pStyle w:val="11"/>
        <w:jc w:val="both"/>
        <w:rPr>
          <w:rFonts w:hint="default" w:ascii="Gotham Pro" w:hAnsi="Gotham Pro" w:cs="Gotham Pro"/>
          <w:sz w:val="28"/>
          <w:szCs w:val="28"/>
        </w:rPr>
      </w:pPr>
      <w:r>
        <w:rPr>
          <w:rFonts w:hint="default" w:ascii="Gotham Pro" w:hAnsi="Gotham Pro" w:cs="Gotham Pro"/>
          <w:sz w:val="28"/>
          <w:szCs w:val="28"/>
        </w:rPr>
        <w:t>Генеральный директор                                                      З.А. Зудаев</w:t>
      </w:r>
    </w:p>
    <w:p>
      <w:pPr>
        <w:pStyle w:val="11"/>
        <w:jc w:val="center"/>
        <w:rPr>
          <w:rFonts w:hint="default" w:ascii="Gotham Pro" w:hAnsi="Gotham Pro" w:cs="Gotham Pro"/>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ascii="Times New Roman" w:hAnsi="Times New Roman" w:cs="Times New Roman"/>
          <w:sz w:val="28"/>
          <w:szCs w:val="28"/>
        </w:rPr>
      </w:pPr>
    </w:p>
    <w:p>
      <w:pPr>
        <w:pStyle w:val="11"/>
        <w:jc w:val="center"/>
        <w:rPr>
          <w:rFonts w:hint="default" w:ascii="Gotham Pro" w:hAnsi="Gotham Pro" w:cs="Gotham Pro"/>
          <w:sz w:val="28"/>
          <w:szCs w:val="28"/>
        </w:rPr>
        <w:sectPr>
          <w:headerReference r:id="rId5" w:type="default"/>
          <w:footerReference r:id="rId6" w:type="default"/>
          <w:pgSz w:w="11906" w:h="16838"/>
          <w:pgMar w:top="1134" w:right="567" w:bottom="1134" w:left="1701" w:header="708" w:footer="709" w:gutter="0"/>
          <w:cols w:space="0" w:num="1"/>
          <w:rtlGutter w:val="0"/>
          <w:docGrid w:linePitch="360" w:charSpace="0"/>
        </w:sectPr>
      </w:pPr>
      <w:r>
        <w:rPr>
          <w:rFonts w:hint="default" w:ascii="Gotham Pro" w:hAnsi="Gotham Pro" w:cs="Gotham Pro"/>
          <w:sz w:val="28"/>
          <w:szCs w:val="28"/>
          <w:lang w:val="ru-RU"/>
        </w:rPr>
        <w:t xml:space="preserve">с. </w:t>
      </w:r>
      <w:r>
        <w:rPr>
          <w:rFonts w:hint="default" w:ascii="Gotham Pro" w:hAnsi="Gotham Pro" w:cs="Gotham Pro"/>
          <w:sz w:val="28"/>
          <w:szCs w:val="28"/>
        </w:rPr>
        <w:t>Сосново-Озерское, 2023</w:t>
      </w: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sz w:val="28"/>
          <w:szCs w:val="28"/>
        </w:rPr>
      </w:pPr>
    </w:p>
    <w:p>
      <w:pPr>
        <w:pStyle w:val="11"/>
        <w:jc w:val="center"/>
        <w:rPr>
          <w:rFonts w:hint="default" w:ascii="Gotham Pro" w:hAnsi="Gotham Pro" w:cs="Gotham Pro"/>
          <w:b/>
          <w:bCs/>
          <w:sz w:val="24"/>
          <w:szCs w:val="24"/>
          <w:lang w:eastAsia="en-US"/>
        </w:rPr>
      </w:pPr>
      <w:r>
        <w:rPr>
          <w:rFonts w:hint="default" w:ascii="Gotham Pro" w:hAnsi="Gotham Pro" w:cs="Gotham Pro"/>
          <w:b/>
          <w:bCs/>
          <w:sz w:val="24"/>
          <w:szCs w:val="24"/>
          <w:lang w:eastAsia="en-US"/>
        </w:rPr>
        <w:t>Внесение изменений</w:t>
      </w:r>
    </w:p>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pPr>
      <w:r>
        <w:rPr>
          <w:rFonts w:hint="default" w:ascii="Gotham Pro" w:hAnsi="Gotham Pro" w:cs="Gotham Pro"/>
          <w:b/>
          <w:bCs/>
          <w:sz w:val="24"/>
          <w:szCs w:val="24"/>
          <w:lang w:eastAsia="en-US"/>
        </w:rPr>
        <w:t>в генеральный план муниципального образования сельского поселения «Сосново-Озерское» Еравнинского района Республики Буряти</w:t>
      </w:r>
      <w:r>
        <w:rPr>
          <w:rFonts w:hint="default" w:ascii="Gotham Pro" w:hAnsi="Gotham Pro" w:cs="Gotham Pro"/>
          <w:sz w:val="24"/>
          <w:szCs w:val="24"/>
          <w:lang w:eastAsia="en-US"/>
        </w:rPr>
        <w:t>я</w:t>
      </w:r>
    </w:p>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pP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3"/>
        <w:gridCol w:w="8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val="en-US" w:eastAsia="en-US"/>
              </w:rPr>
            </w:pPr>
            <w:r>
              <w:rPr>
                <w:rFonts w:hint="default" w:ascii="Gotham Pro" w:hAnsi="Gotham Pro" w:cs="Gotham Pro"/>
                <w:sz w:val="24"/>
                <w:szCs w:val="24"/>
                <w:lang w:val="en-US" w:eastAsia="en-US"/>
              </w:rPr>
              <w:t>№</w:t>
            </w:r>
          </w:p>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val="en-US" w:eastAsia="en-US"/>
              </w:rPr>
            </w:pPr>
            <w:r>
              <w:rPr>
                <w:rFonts w:hint="default" w:ascii="Gotham Pro" w:hAnsi="Gotham Pro" w:cs="Gotham Pro"/>
                <w:sz w:val="24"/>
                <w:szCs w:val="24"/>
                <w:lang w:val="en-US" w:eastAsia="en-US"/>
              </w:rPr>
              <w:t>п/п</w:t>
            </w: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Состав проекта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val="ru-RU" w:eastAsia="en-US"/>
              </w:rPr>
            </w:pPr>
            <w:r>
              <w:rPr>
                <w:rFonts w:hint="default" w:ascii="Gotham Pro" w:hAnsi="Gotham Pro" w:cs="Gotham Pro"/>
                <w:sz w:val="24"/>
                <w:szCs w:val="24"/>
                <w:lang w:val="ru-RU" w:eastAsia="en-US"/>
              </w:rPr>
              <w:t>1</w:t>
            </w: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 xml:space="preserve">Том </w:t>
            </w:r>
            <w:r>
              <w:rPr>
                <w:rFonts w:hint="default" w:ascii="Gotham Pro" w:hAnsi="Gotham Pro" w:cs="Gotham Pro"/>
                <w:sz w:val="24"/>
                <w:szCs w:val="24"/>
                <w:lang w:val="en-US" w:eastAsia="en-US"/>
              </w:rPr>
              <w:t>I</w:t>
            </w:r>
            <w:r>
              <w:rPr>
                <w:rFonts w:hint="default" w:ascii="Gotham Pro" w:hAnsi="Gotham Pro" w:cs="Gotham Pro"/>
                <w:sz w:val="24"/>
                <w:szCs w:val="24"/>
                <w:lang w:eastAsia="en-US"/>
              </w:rPr>
              <w:t>. Положение о территориальном планировании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pP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 xml:space="preserve">Карта планируемых границ </w:t>
            </w:r>
            <w:r>
              <w:rPr>
                <w:rFonts w:hint="default" w:ascii="Gotham Pro" w:hAnsi="Gotham Pro" w:cs="Gotham Pro"/>
                <w:sz w:val="24"/>
                <w:szCs w:val="24"/>
                <w:lang w:val="ru-RU" w:eastAsia="en-US"/>
              </w:rPr>
              <w:t>населённых</w:t>
            </w:r>
            <w:r>
              <w:rPr>
                <w:rFonts w:hint="default" w:ascii="Gotham Pro" w:hAnsi="Gotham Pro" w:cs="Gotham Pro"/>
                <w:sz w:val="24"/>
                <w:szCs w:val="24"/>
                <w:lang w:eastAsia="en-US"/>
              </w:rPr>
              <w:t xml:space="preserve"> пунктов (в том числе границ образуемых </w:t>
            </w:r>
            <w:r>
              <w:rPr>
                <w:rFonts w:hint="default" w:ascii="Gotham Pro" w:hAnsi="Gotham Pro" w:cs="Gotham Pro"/>
                <w:sz w:val="24"/>
                <w:szCs w:val="24"/>
                <w:lang w:val="ru-RU" w:eastAsia="en-US"/>
              </w:rPr>
              <w:t>населённых</w:t>
            </w:r>
            <w:r>
              <w:rPr>
                <w:rFonts w:hint="default" w:ascii="Gotham Pro" w:hAnsi="Gotham Pro" w:cs="Gotham Pro"/>
                <w:sz w:val="24"/>
                <w:szCs w:val="24"/>
                <w:lang w:eastAsia="en-US"/>
              </w:rPr>
              <w:t xml:space="preserve"> пунктов), входящих в состав поселения,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pP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Карта планируемого размещения объектов местного значения,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pP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Карта функциональных зон поселения,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continue"/>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pP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Сведения о границе населенных пунктов, входящих в состав поселения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restart"/>
            <w:vAlign w:val="center"/>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val="ru-RU" w:eastAsia="en-US"/>
              </w:rPr>
            </w:pPr>
            <w:r>
              <w:rPr>
                <w:rFonts w:hint="default" w:ascii="Gotham Pro" w:hAnsi="Gotham Pro" w:cs="Gotham Pro"/>
                <w:sz w:val="24"/>
                <w:szCs w:val="24"/>
                <w:lang w:val="ru-RU" w:eastAsia="en-US"/>
              </w:rPr>
              <w:t>2</w:t>
            </w: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 xml:space="preserve">Том </w:t>
            </w:r>
            <w:r>
              <w:rPr>
                <w:rFonts w:hint="default" w:ascii="Gotham Pro" w:hAnsi="Gotham Pro" w:cs="Gotham Pro"/>
                <w:sz w:val="24"/>
                <w:szCs w:val="24"/>
                <w:lang w:val="en-US" w:eastAsia="en-US"/>
              </w:rPr>
              <w:t>II</w:t>
            </w:r>
            <w:r>
              <w:rPr>
                <w:rFonts w:hint="default" w:ascii="Gotham Pro" w:hAnsi="Gotham Pro" w:cs="Gotham Pro"/>
                <w:sz w:val="24"/>
                <w:szCs w:val="24"/>
                <w:lang w:eastAsia="en-US"/>
              </w:rPr>
              <w:t>. Материалы по обоснованию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33" w:type="dxa"/>
            <w:vMerge w:val="continue"/>
          </w:tcPr>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lang w:eastAsia="en-US"/>
              </w:rPr>
            </w:pPr>
          </w:p>
        </w:tc>
        <w:tc>
          <w:tcPr>
            <w:tcW w:w="8854" w:type="dxa"/>
            <w:vAlign w:val="center"/>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Материалы по обоснованию ввиде карты: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Карта административных границ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Карта современного использования и комплексной оценки территории поселения,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eastAsia="en-US"/>
              </w:rPr>
              <w:t>Карта зон с особыми условиями использования территорий</w:t>
            </w:r>
            <w:r>
              <w:rPr>
                <w:rFonts w:hint="default" w:ascii="Gotham Pro" w:hAnsi="Gotham Pro" w:cs="Gotham Pro"/>
                <w:sz w:val="24"/>
                <w:szCs w:val="24"/>
                <w:lang w:val="ru-RU" w:eastAsia="en-US"/>
              </w:rPr>
              <w:t>, масштаб 1:50000;</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xml:space="preserve"> </w:t>
            </w:r>
            <w:r>
              <w:rPr>
                <w:rFonts w:hint="default" w:ascii="Gotham Pro" w:hAnsi="Gotham Pro" w:cs="Gotham Pro"/>
                <w:sz w:val="24"/>
                <w:szCs w:val="24"/>
                <w:lang w:val="ru-RU" w:eastAsia="en-US"/>
              </w:rPr>
              <w:t>Карта</w:t>
            </w:r>
            <w:r>
              <w:rPr>
                <w:rFonts w:hint="default" w:ascii="Gotham Pro" w:hAnsi="Gotham Pro" w:cs="Gotham Pro"/>
                <w:sz w:val="24"/>
                <w:szCs w:val="24"/>
                <w:lang w:eastAsia="en-US"/>
              </w:rPr>
              <w:t xml:space="preserve"> территорий, подверженных риску возникновения чрезвычайных ситуаций природного и техногенного характера, масштаб 1:</w:t>
            </w:r>
            <w:r>
              <w:rPr>
                <w:rFonts w:hint="default" w:ascii="Gotham Pro" w:hAnsi="Gotham Pro" w:cs="Gotham Pro"/>
                <w:sz w:val="24"/>
                <w:szCs w:val="24"/>
                <w:lang w:val="ru-RU" w:eastAsia="en-US"/>
              </w:rPr>
              <w:t>50000</w:t>
            </w:r>
            <w:r>
              <w:rPr>
                <w:rFonts w:hint="default" w:ascii="Gotham Pro" w:hAnsi="Gotham Pro" w:cs="Gotham Pro"/>
                <w:sz w:val="24"/>
                <w:szCs w:val="24"/>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с.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с. Домна</w:t>
            </w:r>
            <w:r>
              <w:rPr>
                <w:rFonts w:hint="default" w:ascii="Gotham Pro" w:hAnsi="Gotham Pro" w:cs="Gotham Pro"/>
                <w:sz w:val="24"/>
                <w:szCs w:val="24"/>
                <w:lang w:val="ru-RU"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пос. Гарам</w:t>
            </w:r>
            <w:r>
              <w:rPr>
                <w:rFonts w:hint="default" w:ascii="Gotham Pro" w:hAnsi="Gotham Pro" w:cs="Gotham Pro"/>
                <w:sz w:val="24"/>
                <w:szCs w:val="24"/>
                <w:lang w:val="ru-RU"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val="ru-RU" w:eastAsia="en-US"/>
              </w:rPr>
            </w:pPr>
            <w:r>
              <w:rPr>
                <w:rFonts w:hint="default" w:ascii="Gotham Pro" w:hAnsi="Gotham Pro" w:cs="Gotham Pro"/>
                <w:sz w:val="24"/>
                <w:szCs w:val="24"/>
                <w:lang w:val="ru-RU" w:eastAsia="en-US"/>
              </w:rPr>
              <w:t>Г</w:t>
            </w:r>
            <w:r>
              <w:rPr>
                <w:rFonts w:hint="default" w:ascii="Gotham Pro" w:hAnsi="Gotham Pro" w:cs="Gotham Pro"/>
                <w:sz w:val="24"/>
                <w:szCs w:val="24"/>
                <w:lang w:eastAsia="en-US"/>
              </w:rPr>
              <w:t>енеральный план с. Укыр</w:t>
            </w:r>
            <w:r>
              <w:rPr>
                <w:rFonts w:hint="default" w:ascii="Gotham Pro" w:hAnsi="Gotham Pro" w:cs="Gotham Pro"/>
                <w:sz w:val="24"/>
                <w:szCs w:val="24"/>
                <w:lang w:val="ru-RU" w:eastAsia="en-US"/>
              </w:rPr>
              <w:t>.</w:t>
            </w:r>
          </w:p>
        </w:tc>
      </w:tr>
    </w:tbl>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4"/>
          <w:szCs w:val="24"/>
          <w:lang w:eastAsia="en-US"/>
        </w:rPr>
        <w:sectPr>
          <w:pgSz w:w="11906" w:h="16838"/>
          <w:pgMar w:top="1134" w:right="567" w:bottom="1134" w:left="1701" w:header="708" w:footer="709" w:gutter="0"/>
          <w:cols w:space="0" w:num="1"/>
          <w:rtlGutter w:val="0"/>
          <w:docGrid w:linePitch="360" w:charSpace="0"/>
        </w:sect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b/>
          <w:bCs/>
          <w:sz w:val="20"/>
          <w:szCs w:val="20"/>
        </w:rPr>
      </w:pPr>
      <w:r>
        <w:rPr>
          <w:rFonts w:hint="default" w:ascii="Gotham Pro" w:hAnsi="Gotham Pro" w:cs="Gotham Pro"/>
          <w:b/>
          <w:bCs/>
          <w:sz w:val="20"/>
          <w:szCs w:val="20"/>
        </w:rPr>
        <w:t>СОДЕРЖАНИЕ</w:t>
      </w:r>
    </w:p>
    <w:tbl>
      <w:tblPr>
        <w:tblStyle w:val="12"/>
        <w:tblW w:w="9619"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925"/>
        <w:gridCol w:w="6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 xml:space="preserve">Том </w:t>
            </w:r>
            <w:r>
              <w:rPr>
                <w:rFonts w:hint="default" w:ascii="Gotham Pro" w:hAnsi="Gotham Pro" w:cs="Gotham Pro"/>
                <w:b/>
                <w:bCs/>
                <w:sz w:val="20"/>
                <w:szCs w:val="20"/>
                <w:lang w:val="en-US"/>
              </w:rPr>
              <w:t>II</w:t>
            </w:r>
            <w:r>
              <w:rPr>
                <w:rFonts w:hint="default" w:ascii="Gotham Pro" w:hAnsi="Gotham Pro" w:cs="Gotham Pro"/>
                <w:b/>
                <w:bCs/>
                <w:sz w:val="20"/>
                <w:szCs w:val="20"/>
                <w:lang w:val="ru-RU"/>
              </w:rPr>
              <w:t>. Материалы по обоснованию</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textAlignment w:val="auto"/>
              <w:rPr>
                <w:rFonts w:hint="default" w:ascii="Gotham Pro" w:hAnsi="Gotham Pro" w:cs="Gotham Pro"/>
                <w:sz w:val="20"/>
                <w:szCs w:val="20"/>
                <w:lang w:val="ru-RU"/>
              </w:rPr>
            </w:pPr>
            <w:r>
              <w:rPr>
                <w:rFonts w:hint="default" w:ascii="Gotham Pro" w:hAnsi="Gotham Pro" w:cs="Gotham Pro"/>
                <w:sz w:val="20"/>
                <w:szCs w:val="20"/>
                <w:lang w:val="ru-RU"/>
              </w:rPr>
              <w:t>стр.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1. Анализ использования и состояния территории поселения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numPr>
                <w:ilvl w:val="1"/>
                <w:numId w:val="1"/>
              </w:numPr>
              <w:kinsoku/>
              <w:wordWrap/>
              <w:overflowPunct/>
              <w:topLinePunct w:val="0"/>
              <w:autoSpaceDE/>
              <w:autoSpaceDN/>
              <w:bidi w:val="0"/>
              <w:adjustRightInd/>
              <w:snapToGrid/>
              <w:spacing w:line="300" w:lineRule="auto"/>
              <w:ind w:left="0" w:firstLine="210"/>
              <w:jc w:val="both"/>
              <w:textAlignment w:val="auto"/>
              <w:rPr>
                <w:rFonts w:hint="default" w:ascii="Gotham Pro" w:hAnsi="Gotham Pro" w:cs="Gotham Pro"/>
                <w:sz w:val="20"/>
                <w:szCs w:val="20"/>
                <w:lang w:val="ru-RU"/>
              </w:rPr>
            </w:pPr>
            <w:bookmarkStart w:id="1" w:name="_Hlk120960421"/>
            <w:r>
              <w:rPr>
                <w:rFonts w:hint="default" w:ascii="Gotham Pro" w:hAnsi="Gotham Pro" w:cs="Gotham Pro"/>
                <w:sz w:val="20"/>
                <w:szCs w:val="20"/>
                <w:lang w:val="ru-RU"/>
              </w:rPr>
              <w:t>Административно-территориальное устройство поселения и численность населения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ru-RU"/>
              </w:rPr>
              <w:t>1.2. Природные условия и ресурсы поселения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493"/>
              <w:textAlignment w:val="auto"/>
              <w:rPr>
                <w:rFonts w:hint="default" w:ascii="Gotham Pro" w:hAnsi="Gotham Pro" w:cs="Gotham Pro"/>
                <w:sz w:val="20"/>
                <w:szCs w:val="20"/>
                <w:lang w:val="ru-RU"/>
              </w:rPr>
            </w:pPr>
            <w:r>
              <w:rPr>
                <w:rFonts w:hint="default" w:ascii="Gotham Pro" w:hAnsi="Gotham Pro" w:cs="Gotham Pro"/>
                <w:sz w:val="20"/>
                <w:szCs w:val="20"/>
                <w:lang w:val="ru-RU"/>
              </w:rPr>
              <w:t xml:space="preserve">1.2.1. </w:t>
            </w:r>
            <w:r>
              <w:rPr>
                <w:rFonts w:hint="default" w:ascii="Gotham Pro" w:hAnsi="Gotham Pro" w:cs="Gotham Pro"/>
                <w:sz w:val="20"/>
                <w:szCs w:val="20"/>
                <w:lang w:val="en-US"/>
              </w:rPr>
              <w:t>Климат</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493"/>
              <w:textAlignment w:val="auto"/>
              <w:rPr>
                <w:rFonts w:hint="default" w:ascii="Gotham Pro" w:hAnsi="Gotham Pro" w:cs="Gotham Pro"/>
                <w:sz w:val="20"/>
                <w:szCs w:val="20"/>
                <w:lang w:val="ru-RU"/>
              </w:rPr>
            </w:pPr>
            <w:r>
              <w:rPr>
                <w:rFonts w:hint="default" w:ascii="Gotham Pro" w:hAnsi="Gotham Pro" w:cs="Gotham Pro"/>
                <w:sz w:val="20"/>
                <w:szCs w:val="20"/>
                <w:lang w:val="en-US"/>
              </w:rPr>
              <w:t>1.2.</w:t>
            </w:r>
            <w:r>
              <w:rPr>
                <w:rFonts w:hint="default" w:ascii="Gotham Pro" w:hAnsi="Gotham Pro" w:cs="Gotham Pro"/>
                <w:sz w:val="20"/>
                <w:szCs w:val="20"/>
                <w:lang w:val="ru-RU"/>
              </w:rPr>
              <w:t>2</w:t>
            </w:r>
            <w:r>
              <w:rPr>
                <w:rFonts w:hint="default" w:ascii="Gotham Pro" w:hAnsi="Gotham Pro" w:cs="Gotham Pro"/>
                <w:sz w:val="20"/>
                <w:szCs w:val="20"/>
                <w:lang w:val="en-US"/>
              </w:rPr>
              <w:t>.</w:t>
            </w:r>
            <w:r>
              <w:rPr>
                <w:rFonts w:hint="default" w:ascii="Gotham Pro" w:hAnsi="Gotham Pro" w:cs="Gotham Pro"/>
                <w:sz w:val="20"/>
                <w:szCs w:val="20"/>
                <w:lang w:val="ru-RU"/>
              </w:rPr>
              <w:t xml:space="preserve"> </w:t>
            </w:r>
            <w:r>
              <w:rPr>
                <w:rFonts w:hint="default" w:ascii="Gotham Pro" w:hAnsi="Gotham Pro" w:cs="Gotham Pro"/>
                <w:sz w:val="20"/>
                <w:szCs w:val="20"/>
                <w:lang w:val="en-US"/>
              </w:rPr>
              <w:t>Рельеф</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493"/>
              <w:textAlignment w:val="auto"/>
              <w:rPr>
                <w:rFonts w:hint="default" w:ascii="Gotham Pro" w:hAnsi="Gotham Pro" w:cs="Gotham Pro"/>
                <w:sz w:val="20"/>
                <w:szCs w:val="20"/>
                <w:lang w:val="ru-RU"/>
              </w:rPr>
            </w:pPr>
            <w:r>
              <w:rPr>
                <w:rFonts w:hint="default" w:ascii="Gotham Pro" w:hAnsi="Gotham Pro" w:cs="Gotham Pro"/>
                <w:sz w:val="20"/>
                <w:szCs w:val="20"/>
                <w:lang w:val="ru-RU"/>
              </w:rPr>
              <w:t>1.2.3. Гидрография и гидрология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493"/>
              <w:textAlignment w:val="auto"/>
              <w:rPr>
                <w:rFonts w:hint="default" w:ascii="Gotham Pro" w:hAnsi="Gotham Pro" w:cs="Gotham Pro"/>
                <w:sz w:val="20"/>
                <w:szCs w:val="20"/>
                <w:lang w:val="ru-RU"/>
              </w:rPr>
            </w:pPr>
            <w:r>
              <w:rPr>
                <w:rFonts w:hint="default" w:ascii="Gotham Pro" w:hAnsi="Gotham Pro" w:cs="Gotham Pro"/>
                <w:sz w:val="20"/>
                <w:szCs w:val="20"/>
                <w:lang w:val="ru-RU"/>
              </w:rPr>
              <w:t>1.2.4. Почвы</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493"/>
              <w:textAlignment w:val="auto"/>
              <w:rPr>
                <w:rFonts w:hint="default" w:ascii="Gotham Pro" w:hAnsi="Gotham Pro" w:cs="Gotham Pro"/>
                <w:sz w:val="20"/>
                <w:szCs w:val="20"/>
                <w:lang w:val="ru-RU"/>
              </w:rPr>
            </w:pPr>
            <w:r>
              <w:rPr>
                <w:rFonts w:hint="default" w:ascii="Gotham Pro" w:hAnsi="Gotham Pro" w:cs="Gotham Pro"/>
                <w:sz w:val="20"/>
                <w:szCs w:val="20"/>
                <w:lang w:val="ru-RU"/>
              </w:rPr>
              <w:t>1.2.5. Лесные ресурсы</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59"/>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 xml:space="preserve"> 1.2.6. </w:t>
            </w:r>
            <w:r>
              <w:rPr>
                <w:rFonts w:hint="default" w:ascii="Gotham Pro" w:hAnsi="Gotham Pro" w:cs="Gotham Pro"/>
                <w:bCs/>
                <w:sz w:val="20"/>
                <w:szCs w:val="20"/>
                <w:lang w:val="en-US"/>
              </w:rPr>
              <w:t>Полезные ископаемые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14</w:t>
            </w:r>
          </w:p>
        </w:tc>
      </w:tr>
      <w:bookmarkEnd w:id="1"/>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493"/>
              <w:textAlignment w:val="auto"/>
              <w:rPr>
                <w:rFonts w:hint="default" w:ascii="Gotham Pro" w:hAnsi="Gotham Pro" w:cs="Gotham Pro"/>
                <w:sz w:val="20"/>
                <w:szCs w:val="20"/>
                <w:lang w:val="ru-RU"/>
              </w:rPr>
            </w:pPr>
            <w:bookmarkStart w:id="2" w:name="_Hlk122596883"/>
            <w:r>
              <w:rPr>
                <w:rFonts w:hint="default" w:ascii="Gotham Pro" w:hAnsi="Gotham Pro" w:cs="Gotham Pro"/>
                <w:sz w:val="20"/>
                <w:szCs w:val="20"/>
                <w:lang w:val="ru-RU"/>
              </w:rPr>
              <w:t>1.2.7. Выводы по разделу</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16</w:t>
            </w:r>
          </w:p>
        </w:tc>
      </w:tr>
      <w:bookmarkEnd w:id="2"/>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ru-RU"/>
              </w:rPr>
              <w:t>1.3.  Жилой фонд</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en-US"/>
              </w:rPr>
              <w:t>1.4.</w:t>
            </w:r>
            <w:r>
              <w:rPr>
                <w:rFonts w:hint="default" w:ascii="Gotham Pro" w:hAnsi="Gotham Pro" w:cs="Gotham Pro"/>
                <w:sz w:val="20"/>
                <w:szCs w:val="20"/>
                <w:lang w:val="ru-RU"/>
              </w:rPr>
              <w:t xml:space="preserve">  </w:t>
            </w:r>
            <w:r>
              <w:rPr>
                <w:rFonts w:hint="default" w:ascii="Gotham Pro" w:hAnsi="Gotham Pro" w:cs="Gotham Pro"/>
                <w:sz w:val="20"/>
                <w:szCs w:val="20"/>
                <w:lang w:val="en-US"/>
              </w:rPr>
              <w:t>Социальная</w:t>
            </w:r>
            <w:r>
              <w:rPr>
                <w:rFonts w:hint="default" w:ascii="Gotham Pro" w:hAnsi="Gotham Pro" w:cs="Gotham Pro"/>
                <w:sz w:val="20"/>
                <w:szCs w:val="20"/>
                <w:lang w:val="ru-RU"/>
              </w:rPr>
              <w:t xml:space="preserve"> </w:t>
            </w:r>
            <w:r>
              <w:rPr>
                <w:rFonts w:hint="default" w:ascii="Gotham Pro" w:hAnsi="Gotham Pro" w:cs="Gotham Pro"/>
                <w:sz w:val="20"/>
                <w:szCs w:val="20"/>
                <w:lang w:val="en-US"/>
              </w:rPr>
              <w:t>инфраструктура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en-US"/>
              </w:rPr>
              <w:t>1.4.1.</w:t>
            </w:r>
            <w:r>
              <w:rPr>
                <w:rFonts w:hint="default" w:ascii="Gotham Pro" w:hAnsi="Gotham Pro" w:cs="Gotham Pro"/>
                <w:sz w:val="20"/>
                <w:szCs w:val="20"/>
                <w:lang w:val="en-US"/>
              </w:rPr>
              <w:tab/>
            </w:r>
            <w:r>
              <w:rPr>
                <w:rFonts w:hint="default" w:ascii="Gotham Pro" w:hAnsi="Gotham Pro" w:cs="Gotham Pro"/>
                <w:sz w:val="20"/>
                <w:szCs w:val="20"/>
                <w:lang w:val="en-US"/>
              </w:rPr>
              <w:t>Образование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1.4.2.</w:t>
            </w:r>
            <w:r>
              <w:rPr>
                <w:rFonts w:hint="default" w:ascii="Gotham Pro" w:hAnsi="Gotham Pro" w:cs="Gotham Pro"/>
                <w:sz w:val="20"/>
                <w:szCs w:val="20"/>
                <w:lang w:val="ru-RU"/>
              </w:rPr>
              <w:tab/>
            </w:r>
            <w:r>
              <w:rPr>
                <w:rFonts w:hint="default" w:ascii="Gotham Pro" w:hAnsi="Gotham Pro" w:cs="Gotham Pro"/>
                <w:sz w:val="20"/>
                <w:szCs w:val="20"/>
                <w:lang w:val="ru-RU"/>
              </w:rPr>
              <w:t>Здравоохранение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1.4.3.</w:t>
            </w:r>
            <w:r>
              <w:rPr>
                <w:rFonts w:hint="default" w:ascii="Gotham Pro" w:hAnsi="Gotham Pro" w:cs="Gotham Pro"/>
                <w:sz w:val="20"/>
                <w:szCs w:val="20"/>
                <w:lang w:val="ru-RU"/>
              </w:rPr>
              <w:tab/>
            </w:r>
            <w:r>
              <w:rPr>
                <w:rFonts w:hint="default" w:ascii="Gotham Pro" w:hAnsi="Gotham Pro" w:cs="Gotham Pro"/>
                <w:sz w:val="20"/>
                <w:szCs w:val="20"/>
                <w:lang w:val="ru-RU"/>
              </w:rPr>
              <w:t>Культура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en-US"/>
              </w:rPr>
              <w:t>1.5.</w:t>
            </w:r>
            <w:r>
              <w:rPr>
                <w:rFonts w:hint="default" w:ascii="Gotham Pro" w:hAnsi="Gotham Pro" w:cs="Gotham Pro"/>
                <w:sz w:val="20"/>
                <w:szCs w:val="20"/>
                <w:lang w:val="ru-RU"/>
              </w:rPr>
              <w:t xml:space="preserve"> </w:t>
            </w:r>
            <w:r>
              <w:rPr>
                <w:rFonts w:hint="default" w:ascii="Gotham Pro" w:hAnsi="Gotham Pro" w:cs="Gotham Pro"/>
                <w:sz w:val="20"/>
                <w:szCs w:val="20"/>
                <w:lang w:val="en-US"/>
              </w:rPr>
              <w:t>Экономика</w:t>
            </w:r>
            <w:r>
              <w:rPr>
                <w:rFonts w:hint="default" w:ascii="Gotham Pro" w:hAnsi="Gotham Pro" w:cs="Gotham Pro"/>
                <w:sz w:val="20"/>
                <w:szCs w:val="20"/>
                <w:lang w:val="ru-RU"/>
              </w:rPr>
              <w:t xml:space="preserve"> </w:t>
            </w:r>
            <w:r>
              <w:rPr>
                <w:rFonts w:hint="default" w:ascii="Gotham Pro" w:hAnsi="Gotham Pro" w:cs="Gotham Pro"/>
                <w:sz w:val="20"/>
                <w:szCs w:val="20"/>
                <w:lang w:val="en-US"/>
              </w:rPr>
              <w:t>поселения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en-US"/>
              </w:rPr>
              <w:t>1.5.1.</w:t>
            </w:r>
            <w:r>
              <w:rPr>
                <w:rFonts w:hint="default" w:ascii="Gotham Pro" w:hAnsi="Gotham Pro" w:cs="Gotham Pro"/>
                <w:sz w:val="20"/>
                <w:szCs w:val="20"/>
                <w:lang w:val="en-US"/>
              </w:rPr>
              <w:tab/>
            </w:r>
            <w:r>
              <w:rPr>
                <w:rFonts w:hint="default" w:ascii="Gotham Pro" w:hAnsi="Gotham Pro" w:cs="Gotham Pro"/>
                <w:sz w:val="20"/>
                <w:szCs w:val="20"/>
                <w:lang w:val="en-US"/>
              </w:rPr>
              <w:t>Сельское</w:t>
            </w:r>
            <w:r>
              <w:rPr>
                <w:rFonts w:hint="default" w:ascii="Gotham Pro" w:hAnsi="Gotham Pro" w:cs="Gotham Pro"/>
                <w:sz w:val="20"/>
                <w:szCs w:val="20"/>
                <w:lang w:val="ru-RU"/>
              </w:rPr>
              <w:t xml:space="preserve"> </w:t>
            </w:r>
            <w:r>
              <w:rPr>
                <w:rFonts w:hint="default" w:ascii="Gotham Pro" w:hAnsi="Gotham Pro" w:cs="Gotham Pro"/>
                <w:sz w:val="20"/>
                <w:szCs w:val="20"/>
                <w:lang w:val="en-US"/>
              </w:rPr>
              <w:t>хозяйство</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en-US"/>
              </w:rPr>
              <w:t>1.5.</w:t>
            </w:r>
            <w:r>
              <w:rPr>
                <w:rFonts w:hint="default" w:ascii="Gotham Pro" w:hAnsi="Gotham Pro" w:cs="Gotham Pro"/>
                <w:sz w:val="20"/>
                <w:szCs w:val="20"/>
                <w:lang w:val="ru-RU"/>
              </w:rPr>
              <w:t>2</w:t>
            </w:r>
            <w:r>
              <w:rPr>
                <w:rFonts w:hint="default" w:ascii="Gotham Pro" w:hAnsi="Gotham Pro" w:cs="Gotham Pro"/>
                <w:sz w:val="20"/>
                <w:szCs w:val="20"/>
                <w:lang w:val="en-US"/>
              </w:rPr>
              <w:t>.</w:t>
            </w:r>
            <w:r>
              <w:rPr>
                <w:rFonts w:hint="default" w:ascii="Gotham Pro" w:hAnsi="Gotham Pro" w:cs="Gotham Pro"/>
                <w:sz w:val="20"/>
                <w:szCs w:val="20"/>
                <w:lang w:val="en-US"/>
              </w:rPr>
              <w:tab/>
            </w:r>
            <w:r>
              <w:rPr>
                <w:rFonts w:hint="default" w:ascii="Gotham Pro" w:hAnsi="Gotham Pro" w:cs="Gotham Pro"/>
                <w:sz w:val="20"/>
                <w:szCs w:val="20"/>
                <w:lang w:val="ru-RU"/>
              </w:rPr>
              <w:t>Промышленность и торговля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en-US"/>
              </w:rPr>
              <w:t>1.6.</w:t>
            </w:r>
            <w:r>
              <w:rPr>
                <w:rFonts w:hint="default" w:ascii="Gotham Pro" w:hAnsi="Gotham Pro" w:cs="Gotham Pro"/>
                <w:sz w:val="20"/>
                <w:szCs w:val="20"/>
                <w:lang w:val="ru-RU"/>
              </w:rPr>
              <w:t xml:space="preserve"> </w:t>
            </w:r>
            <w:r>
              <w:rPr>
                <w:rFonts w:hint="default" w:ascii="Gotham Pro" w:hAnsi="Gotham Pro" w:cs="Gotham Pro"/>
                <w:sz w:val="20"/>
                <w:szCs w:val="20"/>
                <w:lang w:val="en-US"/>
              </w:rPr>
              <w:t>Коммунальная</w:t>
            </w:r>
            <w:r>
              <w:rPr>
                <w:rFonts w:hint="default" w:ascii="Gotham Pro" w:hAnsi="Gotham Pro" w:cs="Gotham Pro"/>
                <w:sz w:val="20"/>
                <w:szCs w:val="20"/>
                <w:lang w:val="ru-RU"/>
              </w:rPr>
              <w:t xml:space="preserve"> </w:t>
            </w:r>
            <w:r>
              <w:rPr>
                <w:rFonts w:hint="default" w:ascii="Gotham Pro" w:hAnsi="Gotham Pro" w:cs="Gotham Pro"/>
                <w:sz w:val="20"/>
                <w:szCs w:val="20"/>
                <w:lang w:val="en-US"/>
              </w:rPr>
              <w:t>инфраструктура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en-US"/>
              </w:rPr>
              <w:t>1.6.1.</w:t>
            </w:r>
            <w:r>
              <w:rPr>
                <w:rFonts w:hint="default" w:ascii="Gotham Pro" w:hAnsi="Gotham Pro" w:cs="Gotham Pro"/>
                <w:sz w:val="20"/>
                <w:szCs w:val="20"/>
                <w:lang w:val="en-US"/>
              </w:rPr>
              <w:tab/>
            </w:r>
            <w:r>
              <w:rPr>
                <w:rFonts w:hint="default" w:ascii="Gotham Pro" w:hAnsi="Gotham Pro" w:cs="Gotham Pro"/>
                <w:sz w:val="20"/>
                <w:szCs w:val="20"/>
                <w:lang w:val="en-US"/>
              </w:rPr>
              <w:t>Водоснабжение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en-US"/>
              </w:rPr>
              <w:t>1.6.</w:t>
            </w:r>
            <w:r>
              <w:rPr>
                <w:rFonts w:hint="default" w:ascii="Gotham Pro" w:hAnsi="Gotham Pro" w:cs="Gotham Pro"/>
                <w:sz w:val="20"/>
                <w:szCs w:val="20"/>
                <w:lang w:val="ru-RU"/>
              </w:rPr>
              <w:t>2</w:t>
            </w:r>
            <w:r>
              <w:rPr>
                <w:rFonts w:hint="default" w:ascii="Gotham Pro" w:hAnsi="Gotham Pro" w:cs="Gotham Pro"/>
                <w:sz w:val="20"/>
                <w:szCs w:val="20"/>
                <w:lang w:val="en-US"/>
              </w:rPr>
              <w:t>.</w:t>
            </w:r>
            <w:r>
              <w:rPr>
                <w:rFonts w:hint="default" w:ascii="Gotham Pro" w:hAnsi="Gotham Pro" w:cs="Gotham Pro"/>
                <w:sz w:val="20"/>
                <w:szCs w:val="20"/>
                <w:lang w:val="en-US"/>
              </w:rPr>
              <w:tab/>
            </w:r>
            <w:r>
              <w:rPr>
                <w:rFonts w:hint="default" w:ascii="Gotham Pro" w:hAnsi="Gotham Pro" w:cs="Gotham Pro"/>
                <w:sz w:val="20"/>
                <w:szCs w:val="20"/>
                <w:lang w:val="en-US"/>
              </w:rPr>
              <w:t>Водо</w:t>
            </w:r>
            <w:r>
              <w:rPr>
                <w:rFonts w:hint="default" w:ascii="Gotham Pro" w:hAnsi="Gotham Pro" w:cs="Gotham Pro"/>
                <w:sz w:val="20"/>
                <w:szCs w:val="20"/>
                <w:lang w:val="ru-RU"/>
              </w:rPr>
              <w:t>отведение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1.6.3.</w:t>
            </w:r>
            <w:r>
              <w:rPr>
                <w:rFonts w:hint="default" w:ascii="Gotham Pro" w:hAnsi="Gotham Pro" w:cs="Gotham Pro"/>
                <w:sz w:val="20"/>
                <w:szCs w:val="20"/>
                <w:lang w:val="ru-RU"/>
              </w:rPr>
              <w:tab/>
            </w:r>
            <w:r>
              <w:rPr>
                <w:rFonts w:hint="default" w:ascii="Gotham Pro" w:hAnsi="Gotham Pro" w:cs="Gotham Pro"/>
                <w:sz w:val="20"/>
                <w:szCs w:val="20"/>
                <w:lang w:val="ru-RU"/>
              </w:rPr>
              <w:t>Теплоснабжение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1.6.4.</w:t>
            </w:r>
            <w:r>
              <w:rPr>
                <w:rFonts w:hint="default" w:ascii="Gotham Pro" w:hAnsi="Gotham Pro" w:cs="Gotham Pro"/>
                <w:sz w:val="20"/>
                <w:szCs w:val="20"/>
                <w:lang w:val="ru-RU"/>
              </w:rPr>
              <w:tab/>
            </w:r>
            <w:r>
              <w:rPr>
                <w:rFonts w:hint="default" w:ascii="Gotham Pro" w:hAnsi="Gotham Pro" w:cs="Gotham Pro"/>
                <w:sz w:val="20"/>
                <w:szCs w:val="20"/>
                <w:lang w:val="ru-RU"/>
              </w:rPr>
              <w:t xml:space="preserve">Электроснабжение </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29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1.6.5.</w:t>
            </w:r>
            <w:r>
              <w:rPr>
                <w:rFonts w:hint="default" w:ascii="Gotham Pro" w:hAnsi="Gotham Pro" w:cs="Gotham Pro"/>
                <w:sz w:val="20"/>
                <w:szCs w:val="20"/>
                <w:lang w:val="ru-RU"/>
              </w:rPr>
              <w:tab/>
            </w:r>
            <w:r>
              <w:rPr>
                <w:rFonts w:hint="default" w:ascii="Gotham Pro" w:hAnsi="Gotham Pro" w:cs="Gotham Pro"/>
                <w:sz w:val="20"/>
                <w:szCs w:val="20"/>
                <w:lang w:val="ru-RU"/>
              </w:rPr>
              <w:t>Связь</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1.6.6.</w:t>
            </w:r>
            <w:r>
              <w:rPr>
                <w:rFonts w:hint="default" w:ascii="Gotham Pro" w:hAnsi="Gotham Pro" w:cs="Gotham Pro"/>
                <w:sz w:val="20"/>
                <w:szCs w:val="20"/>
                <w:lang w:val="ru-RU"/>
              </w:rPr>
              <w:tab/>
            </w:r>
            <w:r>
              <w:rPr>
                <w:rFonts w:hint="default" w:ascii="Gotham Pro" w:hAnsi="Gotham Pro" w:cs="Gotham Pro"/>
                <w:sz w:val="20"/>
                <w:szCs w:val="20"/>
                <w:lang w:val="ru-RU"/>
              </w:rPr>
              <w:t>Сбор и вывоз отходов</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32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ru-RU"/>
              </w:rPr>
              <w:t>1.7. Транспортная инфраструктура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33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ru-RU"/>
              </w:rPr>
              <w:t>1.8. Объекты культурного, археологического, исторического наследия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36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1.8.1. Утвержденные предметы охраны и границы территорий исторических поселений федерального значения и исторических поселений регионального значения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68"/>
              <w:textAlignment w:val="auto"/>
              <w:rPr>
                <w:rFonts w:hint="default" w:ascii="Gotham Pro" w:hAnsi="Gotham Pro" w:cs="Gotham Pro"/>
                <w:sz w:val="20"/>
                <w:szCs w:val="20"/>
                <w:lang w:val="ru-RU"/>
              </w:rPr>
            </w:pPr>
            <w:r>
              <w:rPr>
                <w:rFonts w:hint="default" w:ascii="Gotham Pro" w:hAnsi="Gotham Pro" w:cs="Gotham Pro"/>
                <w:sz w:val="20"/>
                <w:szCs w:val="20"/>
                <w:lang w:val="en-US"/>
              </w:rPr>
              <w:t>1.9.</w:t>
            </w:r>
            <w:r>
              <w:rPr>
                <w:rFonts w:hint="default" w:ascii="Gotham Pro" w:hAnsi="Gotham Pro" w:cs="Gotham Pro"/>
                <w:sz w:val="20"/>
                <w:szCs w:val="20"/>
                <w:lang w:val="ru-RU"/>
              </w:rPr>
              <w:t xml:space="preserve"> </w:t>
            </w:r>
            <w:r>
              <w:rPr>
                <w:rFonts w:hint="default" w:ascii="Gotham Pro" w:hAnsi="Gotham Pro" w:cs="Gotham Pro"/>
                <w:sz w:val="20"/>
                <w:szCs w:val="20"/>
                <w:lang w:val="en-US"/>
              </w:rPr>
              <w:t>Объекты</w:t>
            </w:r>
            <w:r>
              <w:rPr>
                <w:rFonts w:hint="default" w:ascii="Gotham Pro" w:hAnsi="Gotham Pro" w:cs="Gotham Pro"/>
                <w:sz w:val="20"/>
                <w:szCs w:val="20"/>
                <w:lang w:val="ru-RU"/>
              </w:rPr>
              <w:t xml:space="preserve"> </w:t>
            </w:r>
            <w:r>
              <w:rPr>
                <w:rFonts w:hint="default" w:ascii="Gotham Pro" w:hAnsi="Gotham Pro" w:cs="Gotham Pro"/>
                <w:sz w:val="20"/>
                <w:szCs w:val="20"/>
                <w:lang w:val="en-US"/>
              </w:rPr>
              <w:t>специального</w:t>
            </w:r>
            <w:r>
              <w:rPr>
                <w:rFonts w:hint="default" w:ascii="Gotham Pro" w:hAnsi="Gotham Pro" w:cs="Gotham Pro"/>
                <w:sz w:val="20"/>
                <w:szCs w:val="20"/>
                <w:lang w:val="ru-RU"/>
              </w:rPr>
              <w:t xml:space="preserve"> </w:t>
            </w:r>
            <w:r>
              <w:rPr>
                <w:rFonts w:hint="default" w:ascii="Gotham Pro" w:hAnsi="Gotham Pro" w:cs="Gotham Pro"/>
                <w:sz w:val="20"/>
                <w:szCs w:val="20"/>
                <w:lang w:val="en-US"/>
              </w:rPr>
              <w:t>назначения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1.9.1. Организация ритуальных услуг и содержание мест захоронения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1.9.2.</w:t>
            </w:r>
            <w:r>
              <w:rPr>
                <w:rFonts w:hint="default" w:ascii="Gotham Pro" w:hAnsi="Gotham Pro" w:cs="Gotham Pro"/>
                <w:sz w:val="20"/>
                <w:szCs w:val="20"/>
                <w:lang w:val="ru-RU"/>
              </w:rPr>
              <w:tab/>
            </w:r>
            <w:r>
              <w:rPr>
                <w:rFonts w:hint="default" w:ascii="Gotham Pro" w:hAnsi="Gotham Pro" w:cs="Gotham Pro"/>
                <w:sz w:val="20"/>
                <w:szCs w:val="20"/>
                <w:lang w:val="ru-RU"/>
              </w:rPr>
              <w:t>Объекты складирования и захоронения отходов</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2. Обоснование выбранного варианта размещения объектов местного значения поселения на основе анализа использования территорий поселения, возможных направлений развития этих территорий и прогнозируемых ограничений их использования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 xml:space="preserve">2.1. Сведения об утвержденных документах стратегического планирования, указанных в части 5.2 статьи 9 Градостроительного кодекса Российской Федерации, о национальных проектах, об инвестиционных программах субъектов естественных монополий, организаций коммунального комплекса, о решениях </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ru-RU"/>
              </w:rPr>
              <w:t>2.2. Предложения по функциональному зонированию</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2.2.1.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2.2.2. Перечень земель и земельных участков, подлежащих переводу из одной категории в другую</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ru-RU"/>
              </w:rPr>
              <w:t>2.3. Население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49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ru-RU"/>
              </w:rPr>
              <w:t>2.4. Развитие жилищного строительства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51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ru-RU"/>
              </w:rPr>
              <w:t>2.5. Развитие социальной инфраструктуры</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53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en-US"/>
              </w:rPr>
              <w:t>2.6. Развитие</w:t>
            </w:r>
            <w:r>
              <w:rPr>
                <w:rFonts w:hint="default" w:ascii="Gotham Pro" w:hAnsi="Gotham Pro" w:cs="Gotham Pro"/>
                <w:sz w:val="20"/>
                <w:szCs w:val="20"/>
                <w:lang w:val="ru-RU"/>
              </w:rPr>
              <w:t xml:space="preserve"> </w:t>
            </w:r>
            <w:r>
              <w:rPr>
                <w:rFonts w:hint="default" w:ascii="Gotham Pro" w:hAnsi="Gotham Pro" w:cs="Gotham Pro"/>
                <w:sz w:val="20"/>
                <w:szCs w:val="20"/>
                <w:lang w:val="en-US"/>
              </w:rPr>
              <w:t>экономики</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 xml:space="preserve">2.6.1. </w:t>
            </w:r>
            <w:r>
              <w:rPr>
                <w:rFonts w:hint="default" w:ascii="Gotham Pro" w:hAnsi="Gotham Pro" w:cs="Gotham Pro"/>
                <w:bCs/>
                <w:sz w:val="20"/>
                <w:szCs w:val="20"/>
                <w:lang w:val="ru-RU"/>
              </w:rPr>
              <w:t>Развитие малого и среднего предпринимательства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57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2.6.2. Сельское хозяйство</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en-US"/>
              </w:rPr>
              <w:t>2.7. Развитие</w:t>
            </w:r>
            <w:r>
              <w:rPr>
                <w:rFonts w:hint="default" w:ascii="Gotham Pro" w:hAnsi="Gotham Pro" w:cs="Gotham Pro"/>
                <w:sz w:val="20"/>
                <w:szCs w:val="20"/>
                <w:lang w:val="ru-RU"/>
              </w:rPr>
              <w:t xml:space="preserve"> </w:t>
            </w:r>
            <w:r>
              <w:rPr>
                <w:rFonts w:hint="default" w:ascii="Gotham Pro" w:hAnsi="Gotham Pro" w:cs="Gotham Pro"/>
                <w:sz w:val="20"/>
                <w:szCs w:val="20"/>
                <w:lang w:val="en-US"/>
              </w:rPr>
              <w:t>коммунальной</w:t>
            </w:r>
            <w:r>
              <w:rPr>
                <w:rFonts w:hint="default" w:ascii="Gotham Pro" w:hAnsi="Gotham Pro" w:cs="Gotham Pro"/>
                <w:sz w:val="20"/>
                <w:szCs w:val="20"/>
                <w:lang w:val="ru-RU"/>
              </w:rPr>
              <w:t xml:space="preserve"> </w:t>
            </w:r>
            <w:r>
              <w:rPr>
                <w:rFonts w:hint="default" w:ascii="Gotham Pro" w:hAnsi="Gotham Pro" w:cs="Gotham Pro"/>
                <w:sz w:val="20"/>
                <w:szCs w:val="20"/>
                <w:lang w:val="en-US"/>
              </w:rPr>
              <w:t>инфраструктуры</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2.7.1. Водоснабжение и водоотведение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567" w:hanging="108"/>
              <w:jc w:val="both"/>
              <w:textAlignment w:val="auto"/>
              <w:rPr>
                <w:rFonts w:hint="default" w:ascii="Gotham Pro" w:hAnsi="Gotham Pro" w:cs="Gotham Pro"/>
                <w:sz w:val="20"/>
                <w:szCs w:val="20"/>
                <w:lang w:val="en-US"/>
              </w:rPr>
            </w:pPr>
            <w:r>
              <w:rPr>
                <w:rFonts w:hint="default" w:ascii="Gotham Pro" w:hAnsi="Gotham Pro" w:cs="Gotham Pro"/>
                <w:bCs/>
                <w:sz w:val="20"/>
                <w:szCs w:val="20"/>
                <w:lang w:val="en-US"/>
              </w:rPr>
              <w:t>2.7.2. Электроснабжение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93"/>
              <w:textAlignment w:val="auto"/>
              <w:rPr>
                <w:rFonts w:hint="default" w:ascii="Gotham Pro" w:hAnsi="Gotham Pro" w:cs="Gotham Pro"/>
                <w:sz w:val="20"/>
                <w:szCs w:val="20"/>
                <w:lang w:val="ru-RU"/>
              </w:rPr>
            </w:pPr>
            <w:r>
              <w:rPr>
                <w:rFonts w:hint="default" w:ascii="Gotham Pro" w:hAnsi="Gotham Pro" w:cs="Gotham Pro"/>
                <w:sz w:val="20"/>
                <w:szCs w:val="20"/>
                <w:lang w:val="ru-RU"/>
              </w:rPr>
              <w:t>2.7.3. Теплоснабжение</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en-US"/>
              </w:rPr>
              <w:t>2.8. Развитие</w:t>
            </w:r>
            <w:r>
              <w:rPr>
                <w:rFonts w:hint="default" w:ascii="Gotham Pro" w:hAnsi="Gotham Pro" w:cs="Gotham Pro"/>
                <w:sz w:val="20"/>
                <w:szCs w:val="20"/>
                <w:lang w:val="ru-RU"/>
              </w:rPr>
              <w:t xml:space="preserve"> </w:t>
            </w:r>
            <w:r>
              <w:rPr>
                <w:rFonts w:hint="default" w:ascii="Gotham Pro" w:hAnsi="Gotham Pro" w:cs="Gotham Pro"/>
                <w:sz w:val="20"/>
                <w:szCs w:val="20"/>
                <w:lang w:val="en-US"/>
              </w:rPr>
              <w:t>транспортной</w:t>
            </w:r>
            <w:r>
              <w:rPr>
                <w:rFonts w:hint="default" w:ascii="Gotham Pro" w:hAnsi="Gotham Pro" w:cs="Gotham Pro"/>
                <w:sz w:val="20"/>
                <w:szCs w:val="20"/>
                <w:lang w:val="ru-RU"/>
              </w:rPr>
              <w:t xml:space="preserve"> </w:t>
            </w:r>
            <w:r>
              <w:rPr>
                <w:rFonts w:hint="default" w:ascii="Gotham Pro" w:hAnsi="Gotham Pro" w:cs="Gotham Pro"/>
                <w:sz w:val="20"/>
                <w:szCs w:val="20"/>
                <w:lang w:val="en-US"/>
              </w:rPr>
              <w:t>инфраструктуры</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ru-RU"/>
              </w:rPr>
            </w:pPr>
            <w:r>
              <w:rPr>
                <w:rFonts w:hint="default" w:ascii="Gotham Pro" w:hAnsi="Gotham Pro" w:cs="Gotham Pro"/>
                <w:sz w:val="20"/>
                <w:szCs w:val="20"/>
                <w:lang w:val="ru-RU"/>
              </w:rPr>
              <w:t>2.9. Объекты специального назначения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59"/>
              <w:jc w:val="both"/>
              <w:textAlignment w:val="auto"/>
              <w:rPr>
                <w:rFonts w:hint="default" w:ascii="Gotham Pro" w:hAnsi="Gotham Pro" w:cs="Gotham Pro"/>
                <w:sz w:val="20"/>
                <w:szCs w:val="20"/>
                <w:lang w:val="ru-RU"/>
              </w:rPr>
            </w:pPr>
            <w:r>
              <w:rPr>
                <w:rFonts w:hint="default" w:ascii="Gotham Pro" w:hAnsi="Gotham Pro" w:cs="Gotham Pro"/>
                <w:bCs/>
                <w:sz w:val="20"/>
                <w:szCs w:val="20"/>
                <w:lang w:val="ru-RU"/>
              </w:rPr>
              <w:t>2.9.1. Организация ритуальных услуг и содержание мест захоронения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459"/>
              <w:jc w:val="both"/>
              <w:textAlignment w:val="auto"/>
              <w:rPr>
                <w:rFonts w:hint="default" w:ascii="Gotham Pro" w:hAnsi="Gotham Pro" w:cs="Gotham Pro"/>
                <w:sz w:val="20"/>
                <w:szCs w:val="20"/>
                <w:lang w:val="ru-RU"/>
              </w:rPr>
            </w:pPr>
            <w:r>
              <w:rPr>
                <w:rFonts w:hint="default" w:ascii="Gotham Pro" w:hAnsi="Gotham Pro" w:cs="Gotham Pro"/>
                <w:bCs/>
                <w:sz w:val="20"/>
                <w:szCs w:val="20"/>
                <w:lang w:val="ru-RU"/>
              </w:rPr>
              <w:t>2.9.2. Объекты складирования и захоронения отходов</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3. Оценка возможного влияния планируемых для размещения объектов местного значения поселения на комплексное развитие этих территорий</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4. Утвержденные документами территориального планирования Российской Федерации, документами территориального планирования Республики Бурятия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ЗОУИТ, реквизиты указанных документов территориального планирования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en-US"/>
              </w:rPr>
            </w:pPr>
            <w:r>
              <w:rPr>
                <w:rFonts w:hint="default" w:ascii="Gotham Pro" w:hAnsi="Gotham Pro" w:cs="Gotham Pro"/>
                <w:sz w:val="20"/>
                <w:szCs w:val="20"/>
                <w:lang w:val="en-US"/>
              </w:rPr>
              <w:t>4.1. Объекты</w:t>
            </w:r>
            <w:r>
              <w:rPr>
                <w:rFonts w:hint="default" w:ascii="Gotham Pro" w:hAnsi="Gotham Pro" w:cs="Gotham Pro"/>
                <w:sz w:val="20"/>
                <w:szCs w:val="20"/>
                <w:lang w:val="ru-RU"/>
              </w:rPr>
              <w:t xml:space="preserve"> </w:t>
            </w:r>
            <w:r>
              <w:rPr>
                <w:rFonts w:hint="default" w:ascii="Gotham Pro" w:hAnsi="Gotham Pro" w:cs="Gotham Pro"/>
                <w:sz w:val="20"/>
                <w:szCs w:val="20"/>
                <w:lang w:val="en-US"/>
              </w:rPr>
              <w:t>федерального</w:t>
            </w:r>
            <w:r>
              <w:rPr>
                <w:rFonts w:hint="default" w:ascii="Gotham Pro" w:hAnsi="Gotham Pro" w:cs="Gotham Pro"/>
                <w:sz w:val="20"/>
                <w:szCs w:val="20"/>
                <w:lang w:val="ru-RU"/>
              </w:rPr>
              <w:t xml:space="preserve"> </w:t>
            </w:r>
            <w:r>
              <w:rPr>
                <w:rFonts w:hint="default" w:ascii="Gotham Pro" w:hAnsi="Gotham Pro" w:cs="Gotham Pro"/>
                <w:sz w:val="20"/>
                <w:szCs w:val="20"/>
                <w:lang w:val="en-US"/>
              </w:rPr>
              <w:t>значения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textAlignment w:val="auto"/>
              <w:rPr>
                <w:rFonts w:hint="default" w:ascii="Gotham Pro" w:hAnsi="Gotham Pro" w:cs="Gotham Pro"/>
                <w:sz w:val="20"/>
                <w:szCs w:val="20"/>
                <w:lang w:val="en-US"/>
              </w:rPr>
            </w:pPr>
            <w:r>
              <w:rPr>
                <w:rFonts w:hint="default" w:ascii="Gotham Pro" w:hAnsi="Gotham Pro" w:cs="Gotham Pro"/>
                <w:sz w:val="20"/>
                <w:szCs w:val="20"/>
                <w:lang w:val="en-US"/>
              </w:rPr>
              <w:t>4.2. Объекты</w:t>
            </w:r>
            <w:r>
              <w:rPr>
                <w:rFonts w:hint="default" w:ascii="Gotham Pro" w:hAnsi="Gotham Pro" w:cs="Gotham Pro"/>
                <w:sz w:val="20"/>
                <w:szCs w:val="20"/>
                <w:lang w:val="ru-RU"/>
              </w:rPr>
              <w:t xml:space="preserve"> </w:t>
            </w:r>
            <w:r>
              <w:rPr>
                <w:rFonts w:hint="default" w:ascii="Gotham Pro" w:hAnsi="Gotham Pro" w:cs="Gotham Pro"/>
                <w:sz w:val="20"/>
                <w:szCs w:val="20"/>
                <w:lang w:val="en-US"/>
              </w:rPr>
              <w:t>регионального</w:t>
            </w:r>
            <w:r>
              <w:rPr>
                <w:rFonts w:hint="default" w:ascii="Gotham Pro" w:hAnsi="Gotham Pro" w:cs="Gotham Pro"/>
                <w:sz w:val="20"/>
                <w:szCs w:val="20"/>
                <w:lang w:val="ru-RU"/>
              </w:rPr>
              <w:t xml:space="preserve"> </w:t>
            </w:r>
            <w:r>
              <w:rPr>
                <w:rFonts w:hint="default" w:ascii="Gotham Pro" w:hAnsi="Gotham Pro" w:cs="Gotham Pro"/>
                <w:sz w:val="20"/>
                <w:szCs w:val="20"/>
                <w:lang w:val="en-US"/>
              </w:rPr>
              <w:t>значения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69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ЗОУИТ, реквизиты указанного документа территориального планирования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6. Зоны с особыми условиями использования территорий</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72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7. Мероприятия по охране окружающей среды</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firstLine="210"/>
              <w:jc w:val="both"/>
              <w:textAlignment w:val="auto"/>
              <w:rPr>
                <w:rFonts w:hint="default" w:ascii="Gotham Pro" w:hAnsi="Gotham Pro" w:cs="Gotham Pro"/>
                <w:b/>
                <w:bCs/>
                <w:sz w:val="20"/>
                <w:szCs w:val="20"/>
                <w:lang w:val="ru-RU"/>
              </w:rPr>
            </w:pPr>
            <w:r>
              <w:rPr>
                <w:rFonts w:hint="default" w:ascii="Gotham Pro" w:hAnsi="Gotham Pro" w:cs="Gotham Pro"/>
                <w:b/>
                <w:bCs/>
                <w:sz w:val="20"/>
                <w:szCs w:val="20"/>
                <w:lang w:val="ru-RU"/>
              </w:rPr>
              <w:t xml:space="preserve">8. Перечень и характеристика основных факторов риска возникновения чрезвычайных ситуаций </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200" w:firstLineChars="100"/>
              <w:jc w:val="both"/>
              <w:textAlignment w:val="auto"/>
              <w:rPr>
                <w:rFonts w:hint="default" w:ascii="Gotham Pro" w:hAnsi="Gotham Pro" w:cs="Gotham Pro"/>
                <w:sz w:val="20"/>
                <w:szCs w:val="20"/>
              </w:rPr>
            </w:pPr>
            <w:r>
              <w:rPr>
                <w:rFonts w:hint="default" w:ascii="Gotham Pro" w:hAnsi="Gotham Pro" w:cs="Gotham Pro"/>
                <w:sz w:val="20"/>
                <w:szCs w:val="20"/>
              </w:rPr>
              <w:t>8.1. Краткое описание места расположения поселения, топографо-</w:t>
            </w: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0"/>
                <w:szCs w:val="20"/>
                <w:lang w:val="ru-RU"/>
              </w:rPr>
            </w:pPr>
            <w:r>
              <w:rPr>
                <w:rFonts w:hint="default" w:ascii="Gotham Pro" w:hAnsi="Gotham Pro" w:cs="Gotham Pro"/>
                <w:sz w:val="20"/>
                <w:szCs w:val="20"/>
              </w:rPr>
              <w:t>геодезических, инженерно-геологических и климатических условий, транспортной и инженерной инфраструктуры, данные о площади поселения, характере застройки, численности населения, административном статусе, экономической или сельскохозяйственной специализации и группе по ГО</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200" w:firstLineChars="100"/>
              <w:textAlignment w:val="auto"/>
              <w:rPr>
                <w:rFonts w:hint="default" w:ascii="Gotham Pro" w:hAnsi="Gotham Pro" w:cs="Gotham Pro"/>
                <w:sz w:val="20"/>
                <w:szCs w:val="20"/>
                <w:lang w:val="ru-RU"/>
              </w:rPr>
            </w:pPr>
            <w:r>
              <w:rPr>
                <w:rFonts w:hint="default" w:ascii="Gotham Pro" w:hAnsi="Gotham Pro" w:cs="Gotham Pro"/>
                <w:sz w:val="20"/>
                <w:szCs w:val="20"/>
              </w:rPr>
              <w:t>8.2. Анализ возможных последствий воздействия современных средств поражения и ЧС техногенного и природного характера на функционирование объектов поселения и жизнедеятельность населения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rPr>
            </w:pPr>
            <w:r>
              <w:rPr>
                <w:rFonts w:hint="default" w:ascii="Gotham Pro" w:hAnsi="Gotham Pro" w:cs="Gotham Pro"/>
                <w:sz w:val="20"/>
                <w:szCs w:val="20"/>
              </w:rPr>
              <w:t>8.2.1. Перечень и характеристики возможных последствий воздействия современных средств поражения</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rPr>
            </w:pPr>
            <w:r>
              <w:rPr>
                <w:rFonts w:hint="default" w:ascii="Gotham Pro" w:hAnsi="Gotham Pro" w:cs="Gotham Pro"/>
                <w:sz w:val="20"/>
                <w:szCs w:val="20"/>
              </w:rPr>
              <w:t>8.2.2. Перечень и характеристики возможных источников ЧС техногенного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9" w:hRule="atLeast"/>
        </w:trPr>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rPr>
            </w:pPr>
            <w:r>
              <w:rPr>
                <w:rFonts w:hint="default" w:ascii="Gotham Pro" w:hAnsi="Gotham Pro" w:cs="Gotham Pro"/>
                <w:sz w:val="20"/>
                <w:szCs w:val="20"/>
              </w:rPr>
              <w:t>8.2.3. Перечень и характеристики возможных источников ЧС природного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2" w:hRule="atLeast"/>
        </w:trPr>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rPr>
            </w:pPr>
            <w:r>
              <w:rPr>
                <w:rFonts w:hint="default" w:ascii="Gotham Pro" w:hAnsi="Gotham Pro" w:cs="Gotham Pro"/>
                <w:sz w:val="20"/>
                <w:szCs w:val="20"/>
                <w:lang w:val="ru-RU"/>
              </w:rPr>
              <w:t>8.2.4. Перечень и характеристики возможных источников чрезвычайных ситуаций биолого-социального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200" w:firstLineChars="100"/>
              <w:textAlignment w:val="auto"/>
              <w:rPr>
                <w:rFonts w:hint="default" w:ascii="Gotham Pro" w:hAnsi="Gotham Pro" w:cs="Gotham Pro"/>
                <w:sz w:val="20"/>
                <w:szCs w:val="20"/>
                <w:lang w:val="ru-RU"/>
              </w:rPr>
            </w:pPr>
            <w:r>
              <w:rPr>
                <w:rFonts w:hint="default" w:ascii="Gotham Pro" w:hAnsi="Gotham Pro" w:cs="Gotham Pro"/>
                <w:sz w:val="20"/>
                <w:szCs w:val="20"/>
              </w:rPr>
              <w:t>8.3. Основные показатели по существующим ИТМ ГОЧС, отражающие состояние защиты населения и территории поселения в военное и мирное время на момент разработки генерального плана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117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vAlign w:val="top"/>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200" w:firstLineChars="100"/>
              <w:textAlignment w:val="auto"/>
              <w:rPr>
                <w:rFonts w:hint="default" w:ascii="Gotham Pro" w:hAnsi="Gotham Pro" w:cs="Gotham Pro"/>
                <w:sz w:val="20"/>
                <w:szCs w:val="20"/>
                <w:lang w:val="ru-RU" w:eastAsia="ru-RU"/>
              </w:rPr>
            </w:pPr>
            <w:r>
              <w:rPr>
                <w:rFonts w:hint="default" w:ascii="Gotham Pro" w:hAnsi="Gotham Pro" w:cs="Gotham Pro"/>
                <w:sz w:val="20"/>
                <w:szCs w:val="20"/>
                <w:lang w:eastAsia="ar-SA"/>
              </w:rPr>
              <w:t>8.4. О</w:t>
            </w:r>
            <w:r>
              <w:rPr>
                <w:rFonts w:hint="default" w:ascii="Gotham Pro" w:hAnsi="Gotham Pro" w:cs="Gotham Pro"/>
                <w:sz w:val="20"/>
                <w:szCs w:val="20"/>
              </w:rPr>
              <w:t>боснование предложений по повышению устойчивости функционирования поселения, защите его населения и территорий в военное время и в ЧС техногенного и природного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121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vAlign w:val="top"/>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eastAsia="ru-RU"/>
              </w:rPr>
            </w:pPr>
            <w:r>
              <w:rPr>
                <w:rFonts w:hint="default" w:ascii="Gotham Pro" w:hAnsi="Gotham Pro" w:cs="Gotham Pro"/>
                <w:sz w:val="20"/>
                <w:szCs w:val="20"/>
                <w:lang w:eastAsia="ar-SA"/>
              </w:rPr>
              <w:t>8.4.1. Мероприятия по предупреждению и снижению последствий ЧС техногенного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rPr>
            </w:pPr>
            <w:r>
              <w:rPr>
                <w:rFonts w:hint="default" w:ascii="Gotham Pro" w:hAnsi="Gotham Pro" w:cs="Gotham Pro"/>
                <w:sz w:val="20"/>
                <w:szCs w:val="20"/>
                <w:lang w:eastAsia="ar-SA"/>
              </w:rPr>
              <w:t>8.4.2. Мероприятия по предупреждению и снижению последствий ЧС природного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ru-RU"/>
              </w:rPr>
            </w:pPr>
            <w:r>
              <w:rPr>
                <w:rFonts w:hint="default" w:ascii="Gotham Pro" w:hAnsi="Gotham Pro" w:cs="Gotham Pro"/>
                <w:sz w:val="20"/>
                <w:szCs w:val="20"/>
                <w:lang w:eastAsia="ar-SA"/>
              </w:rPr>
              <w:t>8.4.3. Мероприятия по предупреждению и снижению последствий ЧС биолого-социального характера</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textAlignment w:val="auto"/>
              <w:rPr>
                <w:rFonts w:hint="default" w:ascii="Gotham Pro" w:hAnsi="Gotham Pro" w:cs="Gotham Pro"/>
                <w:sz w:val="20"/>
                <w:szCs w:val="20"/>
                <w:lang w:val="en-US"/>
              </w:rPr>
            </w:pPr>
            <w:r>
              <w:rPr>
                <w:rFonts w:hint="default" w:ascii="Gotham Pro" w:hAnsi="Gotham Pro" w:cs="Gotham Pro"/>
                <w:sz w:val="20"/>
                <w:szCs w:val="20"/>
                <w:lang w:eastAsia="ar-SA"/>
              </w:rPr>
              <w:t>8.4.4. Мероприятия по обеспечению пожарной безопасности</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jc w:val="center"/>
              <w:textAlignment w:val="auto"/>
              <w:rPr>
                <w:rFonts w:hint="default" w:ascii="Gotham Pro" w:hAnsi="Gotham Pro" w:cs="Gotham Pro"/>
                <w:sz w:val="20"/>
                <w:szCs w:val="20"/>
                <w:lang w:val="ru-RU"/>
              </w:rPr>
            </w:pPr>
            <w:r>
              <w:rPr>
                <w:rFonts w:hint="default" w:ascii="Gotham Pro" w:hAnsi="Gotham Pro" w:cs="Gotham Pro"/>
                <w:sz w:val="20"/>
                <w:szCs w:val="20"/>
                <w:lang w:val="ru-RU"/>
              </w:rPr>
              <w:t>127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both"/>
              <w:textAlignment w:val="auto"/>
              <w:rPr>
                <w:rFonts w:hint="default" w:ascii="Gotham Pro" w:hAnsi="Gotham Pro" w:cs="Gotham Pro"/>
                <w:sz w:val="20"/>
                <w:szCs w:val="20"/>
                <w:lang w:val="ru-RU" w:eastAsia="ar-SA"/>
              </w:rPr>
            </w:pPr>
            <w:r>
              <w:rPr>
                <w:rFonts w:hint="default" w:ascii="Gotham Pro" w:hAnsi="Gotham Pro" w:cs="Gotham Pro"/>
                <w:sz w:val="20"/>
                <w:szCs w:val="20"/>
                <w:lang w:val="ru-RU" w:eastAsia="ar-SA"/>
              </w:rPr>
              <w:t xml:space="preserve">Приложения: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Копия письма отдела геологии и лицензирования Департамента по недропользованию по Дальневосточному федеральному округу по Республике Бурятия (Бурятнедра) от 28.07.2023 № 14-38-1516</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Копия письма Филиала ПАО «Россети Сибирь» - «Бурятэнерго» от 17.07.2023 № 1.2/05/900;</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both"/>
              <w:textAlignment w:val="auto"/>
              <w:rPr>
                <w:rFonts w:hint="default" w:ascii="Gotham Pro" w:hAnsi="Gotham Pro" w:cs="Gotham Pro"/>
                <w:sz w:val="20"/>
                <w:szCs w:val="20"/>
                <w:lang w:val="ru-RU"/>
              </w:rPr>
            </w:pPr>
            <w:r>
              <w:rPr>
                <w:rFonts w:hint="default" w:ascii="Gotham Pro" w:hAnsi="Gotham Pro" w:cs="Gotham Pro"/>
                <w:sz w:val="20"/>
                <w:szCs w:val="20"/>
                <w:lang w:val="ru-RU"/>
              </w:rPr>
              <w:t>Копия письма Комитета государственной охраны объектов культурного наследия Администрации Главы Республики Бурятия и Правительства Республики Бурятия от 25.07.2023 № 01.22-10-И1531/23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both"/>
              <w:textAlignment w:val="auto"/>
              <w:rPr>
                <w:rStyle w:val="13"/>
                <w:rFonts w:hint="default" w:ascii="Gotham Pro" w:hAnsi="Gotham Pro" w:cs="Gotham Pro"/>
                <w:sz w:val="20"/>
                <w:szCs w:val="20"/>
                <w:lang w:val="ru-RU"/>
              </w:rPr>
            </w:pPr>
            <w:r>
              <w:rPr>
                <w:rFonts w:hint="default" w:ascii="Gotham Pro" w:hAnsi="Gotham Pro" w:cs="Gotham Pro"/>
                <w:sz w:val="20"/>
                <w:szCs w:val="20"/>
                <w:lang w:val="ru-RU"/>
              </w:rPr>
              <w:t xml:space="preserve">Копия письма Министерства по развитию транспорта, энергетики и дорожного хозяйства Республики Бурятия от </w:t>
            </w:r>
            <w:r>
              <w:rPr>
                <w:rStyle w:val="13"/>
                <w:rFonts w:hint="default" w:ascii="Gotham Pro" w:hAnsi="Gotham Pro" w:cs="Gotham Pro"/>
                <w:sz w:val="20"/>
                <w:szCs w:val="20"/>
                <w:lang w:val="ru-RU"/>
              </w:rPr>
              <w:t>26.07.2023 № 09-06-13-И4927/23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00" w:firstLineChars="200"/>
              <w:jc w:val="both"/>
              <w:textAlignment w:val="auto"/>
              <w:rPr>
                <w:rFonts w:hint="default" w:ascii="Gotham Pro" w:hAnsi="Gotham Pro" w:cs="Gotham Pro"/>
                <w:sz w:val="20"/>
                <w:szCs w:val="20"/>
                <w:lang w:val="ru-RU" w:eastAsia="ar-SA"/>
              </w:rPr>
            </w:pPr>
            <w:r>
              <w:rPr>
                <w:rFonts w:hint="default" w:ascii="Gotham Pro" w:hAnsi="Gotham Pro" w:cs="Gotham Pro"/>
                <w:sz w:val="20"/>
                <w:szCs w:val="20"/>
                <w:lang w:val="ru-RU"/>
              </w:rPr>
              <w:t xml:space="preserve">Копия письма Республиканского агентства по гражданской обороне и чрезвычайным ситуациям от </w:t>
            </w:r>
            <w:r>
              <w:rPr>
                <w:rFonts w:hint="default" w:ascii="Gotham Pro" w:hAnsi="Gotham Pro" w:eastAsia="Times New Roman" w:cs="Gotham Pro"/>
                <w:sz w:val="20"/>
                <w:szCs w:val="20"/>
                <w:lang w:val="ru-RU"/>
              </w:rPr>
              <w:t>04.07.2023 № 75-01-33-И1477/23</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textAlignment w:val="auto"/>
              <w:rPr>
                <w:rFonts w:hint="default" w:ascii="Gotham Pro" w:hAnsi="Gotham Pro" w:cs="Gotham Pro"/>
                <w:sz w:val="20"/>
                <w:szCs w:val="20"/>
                <w:lang w:val="ru-RU"/>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25" w:type="dxa"/>
          </w:tcPr>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both"/>
              <w:textAlignment w:val="auto"/>
              <w:rPr>
                <w:rFonts w:hint="default" w:ascii="Gotham Pro" w:hAnsi="Gotham Pro" w:cs="Gotham Pro"/>
                <w:sz w:val="20"/>
                <w:szCs w:val="20"/>
                <w:lang w:eastAsia="en-US"/>
              </w:rPr>
            </w:pPr>
            <w:r>
              <w:rPr>
                <w:rFonts w:hint="default" w:ascii="Gotham Pro" w:hAnsi="Gotham Pro" w:cs="Gotham Pro"/>
                <w:sz w:val="20"/>
                <w:szCs w:val="20"/>
                <w:lang w:eastAsia="en-US"/>
              </w:rPr>
              <w:t>Материалы по обоснованию ввиде карты: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both"/>
              <w:textAlignment w:val="auto"/>
              <w:rPr>
                <w:rFonts w:hint="default" w:ascii="Gotham Pro" w:hAnsi="Gotham Pro" w:cs="Gotham Pro"/>
                <w:sz w:val="20"/>
                <w:szCs w:val="20"/>
                <w:lang w:eastAsia="en-US"/>
              </w:rPr>
            </w:pPr>
            <w:r>
              <w:rPr>
                <w:rFonts w:hint="default" w:ascii="Gotham Pro" w:hAnsi="Gotham Pro" w:cs="Gotham Pro"/>
                <w:sz w:val="20"/>
                <w:szCs w:val="20"/>
                <w:lang w:eastAsia="en-US"/>
              </w:rPr>
              <w:t>Карта административных границ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both"/>
              <w:textAlignment w:val="auto"/>
              <w:rPr>
                <w:rFonts w:hint="default" w:ascii="Gotham Pro" w:hAnsi="Gotham Pro" w:cs="Gotham Pro"/>
                <w:sz w:val="20"/>
                <w:szCs w:val="20"/>
                <w:lang w:eastAsia="en-US"/>
              </w:rPr>
            </w:pPr>
            <w:r>
              <w:rPr>
                <w:rFonts w:hint="default" w:ascii="Gotham Pro" w:hAnsi="Gotham Pro" w:cs="Gotham Pro"/>
                <w:sz w:val="20"/>
                <w:szCs w:val="20"/>
                <w:lang w:eastAsia="en-US"/>
              </w:rPr>
              <w:t>Карта современного использования и комплексной оценки территории поселения, масштаб 1:</w:t>
            </w:r>
            <w:r>
              <w:rPr>
                <w:rFonts w:hint="default" w:ascii="Gotham Pro" w:hAnsi="Gotham Pro" w:cs="Gotham Pro"/>
                <w:sz w:val="20"/>
                <w:szCs w:val="20"/>
                <w:lang w:val="ru-RU" w:eastAsia="en-US"/>
              </w:rPr>
              <w:t>50000</w:t>
            </w:r>
            <w:r>
              <w:rPr>
                <w:rFonts w:hint="default" w:ascii="Gotham Pro" w:hAnsi="Gotham Pro" w:cs="Gotham Pro"/>
                <w:sz w:val="20"/>
                <w:szCs w:val="20"/>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both"/>
              <w:textAlignment w:val="auto"/>
              <w:rPr>
                <w:rFonts w:hint="default" w:ascii="Gotham Pro" w:hAnsi="Gotham Pro" w:cs="Gotham Pro"/>
                <w:sz w:val="20"/>
                <w:szCs w:val="20"/>
                <w:lang w:val="ru-RU" w:eastAsia="en-US"/>
              </w:rPr>
            </w:pPr>
            <w:r>
              <w:rPr>
                <w:rFonts w:hint="default" w:ascii="Gotham Pro" w:hAnsi="Gotham Pro" w:cs="Gotham Pro"/>
                <w:sz w:val="20"/>
                <w:szCs w:val="20"/>
                <w:lang w:eastAsia="en-US"/>
              </w:rPr>
              <w:t>Карта зон с особыми условиями использования территорий</w:t>
            </w:r>
            <w:r>
              <w:rPr>
                <w:rFonts w:hint="default" w:ascii="Gotham Pro" w:hAnsi="Gotham Pro" w:cs="Gotham Pro"/>
                <w:sz w:val="20"/>
                <w:szCs w:val="20"/>
                <w:lang w:val="ru-RU" w:eastAsia="en-US"/>
              </w:rPr>
              <w:t>, масштаб 1:50000;</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both"/>
              <w:textAlignment w:val="auto"/>
              <w:rPr>
                <w:rFonts w:hint="default" w:ascii="Gotham Pro" w:hAnsi="Gotham Pro" w:cs="Gotham Pro"/>
                <w:sz w:val="20"/>
                <w:szCs w:val="20"/>
                <w:lang w:eastAsia="en-US"/>
              </w:rPr>
            </w:pPr>
            <w:r>
              <w:rPr>
                <w:rFonts w:hint="default" w:ascii="Gotham Pro" w:hAnsi="Gotham Pro" w:cs="Gotham Pro"/>
                <w:sz w:val="20"/>
                <w:szCs w:val="20"/>
                <w:lang w:val="ru-RU" w:eastAsia="en-US"/>
              </w:rPr>
              <w:t>Карта</w:t>
            </w:r>
            <w:r>
              <w:rPr>
                <w:rFonts w:hint="default" w:ascii="Gotham Pro" w:hAnsi="Gotham Pro" w:cs="Gotham Pro"/>
                <w:sz w:val="20"/>
                <w:szCs w:val="20"/>
                <w:lang w:eastAsia="en-US"/>
              </w:rPr>
              <w:t xml:space="preserve"> территорий, подверженных риску возникновения чрезвычайных ситуаций природного и техногенного характера, масштаб 1:</w:t>
            </w:r>
            <w:r>
              <w:rPr>
                <w:rFonts w:hint="default" w:ascii="Gotham Pro" w:hAnsi="Gotham Pro" w:cs="Gotham Pro"/>
                <w:sz w:val="20"/>
                <w:szCs w:val="20"/>
                <w:lang w:val="ru-RU" w:eastAsia="en-US"/>
              </w:rPr>
              <w:t>50000</w:t>
            </w:r>
            <w:r>
              <w:rPr>
                <w:rFonts w:hint="default" w:ascii="Gotham Pro" w:hAnsi="Gotham Pro" w:cs="Gotham Pro"/>
                <w:sz w:val="20"/>
                <w:szCs w:val="20"/>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366" w:firstLineChars="183"/>
              <w:jc w:val="both"/>
              <w:textAlignment w:val="auto"/>
              <w:rPr>
                <w:rFonts w:hint="default" w:ascii="Gotham Pro" w:hAnsi="Gotham Pro" w:cs="Gotham Pro"/>
                <w:sz w:val="20"/>
                <w:szCs w:val="20"/>
                <w:lang w:val="ru-RU"/>
              </w:rPr>
            </w:pPr>
            <w:r>
              <w:rPr>
                <w:rFonts w:hint="default" w:ascii="Gotham Pro" w:hAnsi="Gotham Pro" w:cs="Gotham Pro"/>
                <w:sz w:val="20"/>
                <w:szCs w:val="20"/>
                <w:lang w:val="ru-RU" w:eastAsia="en-US"/>
              </w:rPr>
              <w:t>Г</w:t>
            </w:r>
            <w:r>
              <w:rPr>
                <w:rFonts w:hint="default" w:ascii="Gotham Pro" w:hAnsi="Gotham Pro" w:cs="Gotham Pro"/>
                <w:sz w:val="20"/>
                <w:szCs w:val="20"/>
                <w:lang w:eastAsia="en-US"/>
              </w:rPr>
              <w:t>енеральный план с. Сосново-Озерское;</w:t>
            </w:r>
            <w:r>
              <w:rPr>
                <w:rFonts w:hint="default" w:ascii="Gotham Pro" w:hAnsi="Gotham Pro" w:cs="Gotham Pro"/>
                <w:sz w:val="20"/>
                <w:szCs w:val="20"/>
                <w:lang w:val="ru-RU" w:eastAsia="en-US"/>
              </w:rPr>
              <w:t xml:space="preserve"> Г</w:t>
            </w:r>
            <w:r>
              <w:rPr>
                <w:rFonts w:hint="default" w:ascii="Gotham Pro" w:hAnsi="Gotham Pro" w:cs="Gotham Pro"/>
                <w:sz w:val="20"/>
                <w:szCs w:val="20"/>
                <w:lang w:eastAsia="en-US"/>
              </w:rPr>
              <w:t>енеральный план с. Домна</w:t>
            </w:r>
            <w:r>
              <w:rPr>
                <w:rFonts w:hint="default" w:ascii="Gotham Pro" w:hAnsi="Gotham Pro" w:cs="Gotham Pro"/>
                <w:sz w:val="20"/>
                <w:szCs w:val="20"/>
                <w:lang w:val="ru-RU" w:eastAsia="en-US"/>
              </w:rPr>
              <w:t>; Г</w:t>
            </w:r>
            <w:r>
              <w:rPr>
                <w:rFonts w:hint="default" w:ascii="Gotham Pro" w:hAnsi="Gotham Pro" w:cs="Gotham Pro"/>
                <w:sz w:val="20"/>
                <w:szCs w:val="20"/>
                <w:lang w:eastAsia="en-US"/>
              </w:rPr>
              <w:t>енеральный план пос. Гарам</w:t>
            </w:r>
            <w:r>
              <w:rPr>
                <w:rFonts w:hint="default" w:ascii="Gotham Pro" w:hAnsi="Gotham Pro" w:cs="Gotham Pro"/>
                <w:sz w:val="20"/>
                <w:szCs w:val="20"/>
                <w:lang w:val="ru-RU" w:eastAsia="en-US"/>
              </w:rPr>
              <w:t>; Г</w:t>
            </w:r>
            <w:r>
              <w:rPr>
                <w:rFonts w:hint="default" w:ascii="Gotham Pro" w:hAnsi="Gotham Pro" w:cs="Gotham Pro"/>
                <w:sz w:val="20"/>
                <w:szCs w:val="20"/>
                <w:lang w:eastAsia="en-US"/>
              </w:rPr>
              <w:t>енеральный план с. Укыр</w:t>
            </w:r>
            <w:r>
              <w:rPr>
                <w:rFonts w:hint="default" w:ascii="Gotham Pro" w:hAnsi="Gotham Pro" w:cs="Gotham Pro"/>
                <w:sz w:val="20"/>
                <w:szCs w:val="20"/>
                <w:lang w:val="ru-RU" w:eastAsia="en-US"/>
              </w:rPr>
              <w:t>.</w:t>
            </w:r>
          </w:p>
        </w:tc>
        <w:tc>
          <w:tcPr>
            <w:tcW w:w="694" w:type="dxa"/>
          </w:tcPr>
          <w:p>
            <w:pPr>
              <w:pStyle w:val="11"/>
              <w:keepNext w:val="0"/>
              <w:keepLines w:val="0"/>
              <w:pageBreakBefore w:val="0"/>
              <w:widowControl/>
              <w:kinsoku/>
              <w:wordWrap/>
              <w:overflowPunct/>
              <w:topLinePunct w:val="0"/>
              <w:autoSpaceDE/>
              <w:autoSpaceDN/>
              <w:bidi w:val="0"/>
              <w:adjustRightInd/>
              <w:snapToGrid/>
              <w:spacing w:line="300" w:lineRule="auto"/>
              <w:textAlignment w:val="auto"/>
              <w:rPr>
                <w:rFonts w:hint="default" w:ascii="Gotham Pro" w:hAnsi="Gotham Pro" w:cs="Gotham Pro"/>
                <w:sz w:val="20"/>
                <w:szCs w:val="20"/>
                <w:lang w:val="ru-RU"/>
              </w:rPr>
            </w:pPr>
          </w:p>
        </w:tc>
      </w:tr>
    </w:tbl>
    <w:p>
      <w:pPr>
        <w:pStyle w:val="11"/>
        <w:jc w:val="both"/>
        <w:rPr>
          <w:rFonts w:hint="default" w:ascii="Gotham Pro" w:hAnsi="Gotham Pro" w:cs="Gotham Pro"/>
          <w:sz w:val="28"/>
          <w:szCs w:val="28"/>
        </w:rPr>
        <w:sectPr>
          <w:pgSz w:w="11906" w:h="16838"/>
          <w:pgMar w:top="1134" w:right="567" w:bottom="1134" w:left="1701" w:header="708" w:footer="709" w:gutter="0"/>
          <w:cols w:space="0" w:num="1"/>
          <w:rtlGutter w:val="0"/>
          <w:docGrid w:linePitch="360" w:charSpace="0"/>
        </w:sect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jc w:val="both"/>
        <w:rPr>
          <w:rFonts w:hint="default" w:ascii="Gotham Pro" w:hAnsi="Gotham Pro" w:cs="Gotham Pro"/>
          <w:sz w:val="28"/>
          <w:szCs w:val="28"/>
        </w:rPr>
      </w:pPr>
    </w:p>
    <w:p>
      <w:pPr>
        <w:pStyle w:val="11"/>
        <w:keepNext w:val="0"/>
        <w:keepLines w:val="0"/>
        <w:pageBreakBefore w:val="0"/>
        <w:widowControl/>
        <w:kinsoku/>
        <w:wordWrap/>
        <w:overflowPunct/>
        <w:topLinePunct w:val="0"/>
        <w:autoSpaceDE/>
        <w:autoSpaceDN/>
        <w:bidi w:val="0"/>
        <w:adjustRightInd/>
        <w:snapToGrid/>
        <w:spacing w:line="300" w:lineRule="auto"/>
        <w:ind w:left="567"/>
        <w:jc w:val="center"/>
        <w:textAlignment w:val="auto"/>
        <w:rPr>
          <w:rFonts w:hint="default" w:ascii="Gotham Pro" w:hAnsi="Gotham Pro" w:cs="Gotham Pro"/>
          <w:b/>
          <w:bCs/>
          <w:sz w:val="24"/>
          <w:szCs w:val="24"/>
        </w:rPr>
      </w:pPr>
      <w:r>
        <w:rPr>
          <w:rFonts w:hint="default" w:ascii="Gotham Pro" w:hAnsi="Gotham Pro" w:cs="Gotham Pro"/>
          <w:b/>
          <w:bCs/>
          <w:sz w:val="24"/>
          <w:szCs w:val="24"/>
        </w:rPr>
        <w:t>1. Анализ использования и состояния территории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567"/>
        <w:jc w:val="center"/>
        <w:textAlignment w:val="auto"/>
        <w:rPr>
          <w:rFonts w:hint="default" w:ascii="Gotham Pro" w:hAnsi="Gotham Pro" w:cs="Gotham Pro"/>
          <w:b/>
          <w:bCs/>
          <w:sz w:val="24"/>
          <w:szCs w:val="24"/>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0" w:firstLine="567"/>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Административно-территориальное устройство поселения и численность населения </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МО СП «Сосново-Озерское» расположено в центральной части Еравнинского района (рис. 1) и граничит:</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bookmarkStart w:id="3" w:name="_Hlk133835699"/>
      <w:r>
        <w:rPr>
          <w:rFonts w:hint="default" w:ascii="Gotham Pro" w:hAnsi="Gotham Pro" w:cs="Gotham Pro"/>
          <w:sz w:val="24"/>
          <w:szCs w:val="24"/>
        </w:rPr>
        <w:t>- на севере -</w:t>
      </w:r>
      <w:bookmarkStart w:id="4" w:name="_Hlk133836617"/>
      <w:r>
        <w:rPr>
          <w:rFonts w:hint="default" w:ascii="Gotham Pro" w:hAnsi="Gotham Pro" w:cs="Gotham Pro"/>
          <w:sz w:val="24"/>
          <w:szCs w:val="24"/>
        </w:rPr>
        <w:t>с межселенными территориями МО «Еравнинский район» и МО СП «Тулдунское»;</w:t>
      </w:r>
      <w:bookmarkEnd w:id="4"/>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на юге - с межселенными территориями МО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на востоке – с МО СП «Ширингинское»;</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на западе с МО СП «Улхасааское».</w:t>
      </w:r>
      <w:bookmarkEnd w:id="3"/>
    </w:p>
    <w:p>
      <w:pPr>
        <w:ind w:firstLine="567"/>
        <w:jc w:val="center"/>
        <w:rPr>
          <w:rFonts w:hint="default" w:ascii="Gotham Pro" w:hAnsi="Gotham Pro" w:cs="Gotham Pro"/>
          <w:sz w:val="20"/>
          <w:szCs w:val="20"/>
        </w:rPr>
      </w:pPr>
    </w:p>
    <w:p>
      <w:pPr>
        <w:pStyle w:val="11"/>
        <w:bidi w:val="0"/>
        <w:jc w:val="center"/>
        <w:rPr>
          <w:rFonts w:hint="default" w:ascii="Gotham Pro" w:hAnsi="Gotham Pro" w:cs="Gotham Pro"/>
          <w:sz w:val="20"/>
          <w:szCs w:val="20"/>
          <w:lang w:val="ru-RU"/>
        </w:rPr>
      </w:pPr>
      <w:r>
        <w:rPr>
          <w:rFonts w:hint="default" w:ascii="Gotham Pro" w:hAnsi="Gotham Pro" w:cs="Gotham Pro"/>
          <w:sz w:val="20"/>
          <w:szCs w:val="20"/>
          <w:lang w:val="ru-RU"/>
        </w:rPr>
        <w:t>Административно-территориальное деление Еравнинского района</w:t>
      </w:r>
    </w:p>
    <w:p>
      <w:pPr>
        <w:pStyle w:val="11"/>
        <w:bidi w:val="0"/>
        <w:jc w:val="right"/>
        <w:rPr>
          <w:rFonts w:hint="default" w:ascii="Gotham Pro" w:hAnsi="Gotham Pro" w:cs="Gotham Pro"/>
          <w:sz w:val="20"/>
          <w:szCs w:val="20"/>
        </w:rPr>
      </w:pPr>
      <w:r>
        <w:rPr>
          <w:rFonts w:hint="default" w:ascii="Gotham Pro" w:hAnsi="Gotham Pro" w:cs="Gotham Pro"/>
          <w:sz w:val="20"/>
          <w:szCs w:val="20"/>
        </w:rPr>
        <w:t>рис. 1.1.-1</w:t>
      </w:r>
    </w:p>
    <w:p>
      <w:pPr>
        <w:jc w:val="center"/>
        <w:rPr>
          <w:rFonts w:ascii="Times New Roman" w:hAnsi="Times New Roman" w:cs="Times New Roman"/>
          <w:sz w:val="24"/>
          <w:szCs w:val="24"/>
        </w:rPr>
      </w:pPr>
      <w:r>
        <w:drawing>
          <wp:inline distT="0" distB="0" distL="0" distR="0">
            <wp:extent cx="5939790" cy="4965700"/>
            <wp:effectExtent l="0" t="0" r="3810" b="635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pic:cNvPicPr>
                  </pic:nvPicPr>
                  <pic:blipFill>
                    <a:blip r:embed="rId10"/>
                    <a:stretch>
                      <a:fillRect/>
                    </a:stretch>
                  </pic:blipFill>
                  <pic:spPr>
                    <a:xfrm>
                      <a:off x="0" y="0"/>
                      <a:ext cx="5939790" cy="4965700"/>
                    </a:xfrm>
                    <a:prstGeom prst="rect">
                      <a:avLst/>
                    </a:prstGeom>
                  </pic:spPr>
                </pic:pic>
              </a:graphicData>
            </a:graphic>
          </wp:inline>
        </w:drawing>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Границы МО СП «Сосново-Озерское» установлены</w:t>
      </w:r>
      <w:r>
        <w:rPr>
          <w:rFonts w:hint="default" w:ascii="Gotham Pro" w:hAnsi="Gotham Pro" w:cs="Gotham Pro"/>
          <w:sz w:val="24"/>
          <w:szCs w:val="24"/>
          <w:lang w:val="ru-RU"/>
        </w:rPr>
        <w:t xml:space="preserve"> </w:t>
      </w:r>
      <w:r>
        <w:rPr>
          <w:rFonts w:hint="default" w:ascii="Gotham Pro" w:hAnsi="Gotham Pro" w:cs="Gotham Pro"/>
          <w:sz w:val="24"/>
          <w:szCs w:val="24"/>
        </w:rPr>
        <w:t xml:space="preserve">Законом Республики Бурятия от 31.12.2004 № 985-III «Об установлении границ, образовании 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наделении статусом муниципальных образований в Республике Бурятия» (далее – Закон № 985-</w:t>
      </w:r>
      <w:r>
        <w:rPr>
          <w:rFonts w:hint="default" w:ascii="Gotham Pro" w:hAnsi="Gotham Pro" w:cs="Gotham Pro"/>
          <w:sz w:val="24"/>
          <w:szCs w:val="24"/>
          <w:lang w:val="en-US"/>
        </w:rPr>
        <w:t>III</w:t>
      </w:r>
      <w:r>
        <w:rPr>
          <w:rFonts w:hint="default" w:ascii="Gotham Pro" w:hAnsi="Gotham Pro" w:cs="Gotham Pro"/>
          <w:sz w:val="24"/>
          <w:szCs w:val="24"/>
        </w:rPr>
        <w:t>). Описание границ поселения приведены в приложении 88Закона № 985-III.</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Сведения о границе поселения внесены в ЕГРН под реестровым номером 03:05-3.7. Поселение занимает территорию площадью</w:t>
      </w:r>
      <w:r>
        <w:rPr>
          <w:rFonts w:hint="default" w:ascii="Gotham Pro" w:hAnsi="Gotham Pro" w:cs="Gotham Pro"/>
          <w:sz w:val="24"/>
          <w:szCs w:val="24"/>
          <w:lang w:val="ru-RU"/>
        </w:rPr>
        <w:t xml:space="preserve"> </w:t>
      </w:r>
      <w:r>
        <w:rPr>
          <w:rFonts w:hint="default" w:ascii="Gotham Pro" w:hAnsi="Gotham Pro" w:cs="Gotham Pro"/>
          <w:sz w:val="24"/>
          <w:szCs w:val="24"/>
        </w:rPr>
        <w:t>820 км</w:t>
      </w:r>
      <w:r>
        <w:rPr>
          <w:rFonts w:hint="default" w:ascii="Gotham Pro" w:hAnsi="Gotham Pro" w:cs="Gotham Pro"/>
          <w:sz w:val="24"/>
          <w:szCs w:val="24"/>
          <w:vertAlign w:val="superscript"/>
        </w:rPr>
        <w:t>2</w:t>
      </w:r>
      <w:r>
        <w:rPr>
          <w:rFonts w:hint="default" w:ascii="Gotham Pro" w:hAnsi="Gotham Pro" w:cs="Gotham Pro"/>
          <w:sz w:val="24"/>
          <w:szCs w:val="24"/>
        </w:rPr>
        <w:t>. В составе поселения имеются два чересполосных участка: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Харасун;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Вершина Уды.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соответствии с Законом № 985-III и Реестром административно-территориальных единиц и населенных пунктов Республики Бурятия, утвержденным постановлением Правительства Республики Бурятия от 18.11.2009 № 431, в состав поселения входят населенные пункты: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 Сосново-Озерское, являющееся административным центром поселения</w:t>
      </w:r>
      <w:r>
        <w:rPr>
          <w:rFonts w:hint="default" w:ascii="Gotham Pro" w:hAnsi="Gotham Pro" w:cs="Gotham Pro"/>
          <w:sz w:val="24"/>
          <w:szCs w:val="24"/>
          <w:lang w:val="en-US"/>
        </w:rPr>
        <w:t xml:space="preserve"> </w:t>
      </w:r>
      <w:r>
        <w:rPr>
          <w:rFonts w:hint="default" w:ascii="Gotham Pro" w:hAnsi="Gotham Pro" w:cs="Gotham Pro"/>
          <w:sz w:val="24"/>
          <w:szCs w:val="24"/>
          <w:lang w:val="ru-RU"/>
        </w:rPr>
        <w:t>и Еравнинского района</w:t>
      </w:r>
      <w:r>
        <w:rPr>
          <w:rFonts w:hint="default" w:ascii="Gotham Pro" w:hAnsi="Gotham Pro" w:cs="Gotham Pro"/>
          <w:sz w:val="24"/>
          <w:szCs w:val="24"/>
        </w:rPr>
        <w:t>, а также села Домна и Укыр, пос. Гарам.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Сведения о границах населенных пунктов внесены в ЕГРН под реестровыми номерами: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1) 03:05-4.1 - с. Сосново-Озерское, площадь населенного пункта составляет 25км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2) 03:05-4.120 –с. Домна с площадьюнаселенного пункта 1,3км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3) 03:05-4.119 – с. Укыр с площадью населенного пункта 1 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4) 03:05-4.123 – пос. Гарам, площадь населенного пункта составляет 0,5 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Расстояние от столицы Республики Бурятия г. Улан-Удэ - 297 км.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сведениям, представленным Администрацией МО СП «Сосново-Озерское», на 01.01.2023 года в МО СП «Сосново-Озерское» численность постоянного населения составляет 6997 чел.</w:t>
      </w:r>
    </w:p>
    <w:p>
      <w:pPr>
        <w:pStyle w:val="11"/>
        <w:shd w:val="clear" w:color="auto" w:fill="FFFFFF"/>
        <w:spacing w:line="276" w:lineRule="auto"/>
        <w:ind w:firstLine="567"/>
        <w:jc w:val="center"/>
        <w:rPr>
          <w:rFonts w:ascii="Times New Roman" w:hAnsi="Times New Roman"/>
          <w:sz w:val="24"/>
          <w:szCs w:val="24"/>
        </w:rPr>
      </w:pPr>
    </w:p>
    <w:p>
      <w:pPr>
        <w:pStyle w:val="11"/>
        <w:shd w:val="clear" w:color="auto" w:fill="FFFFFF"/>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Численность населения по </w:t>
      </w:r>
      <w:r>
        <w:rPr>
          <w:rFonts w:hint="default" w:ascii="Gotham Pro" w:hAnsi="Gotham Pro" w:cs="Gotham Pro"/>
          <w:sz w:val="20"/>
          <w:szCs w:val="20"/>
          <w:lang w:val="ru-RU"/>
        </w:rPr>
        <w:t>населённым</w:t>
      </w:r>
      <w:r>
        <w:rPr>
          <w:rFonts w:hint="default" w:ascii="Gotham Pro" w:hAnsi="Gotham Pro" w:cs="Gotham Pro"/>
          <w:sz w:val="20"/>
          <w:szCs w:val="20"/>
        </w:rPr>
        <w:t xml:space="preserve"> пунктам МО СП «Сосново-Озерское»</w:t>
      </w:r>
    </w:p>
    <w:p>
      <w:pPr>
        <w:pStyle w:val="11"/>
        <w:shd w:val="clear" w:color="auto" w:fill="FFFFFF"/>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1.1.-1</w:t>
      </w:r>
    </w:p>
    <w:tbl>
      <w:tblPr>
        <w:tblStyle w:val="3"/>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342"/>
        <w:gridCol w:w="1128"/>
        <w:gridCol w:w="1404"/>
        <w:gridCol w:w="1488"/>
        <w:gridCol w:w="1476"/>
        <w:gridCol w:w="18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202"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показателя</w:t>
            </w:r>
          </w:p>
        </w:tc>
        <w:tc>
          <w:tcPr>
            <w:tcW w:w="579"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ед. изм.</w:t>
            </w:r>
          </w:p>
        </w:tc>
        <w:tc>
          <w:tcPr>
            <w:tcW w:w="3217" w:type="pct"/>
            <w:gridSpan w:val="4"/>
            <w:shd w:val="clear" w:color="auto" w:fill="auto"/>
          </w:tcPr>
          <w:p>
            <w:pPr>
              <w:pStyle w:val="14"/>
              <w:rPr>
                <w:sz w:val="22"/>
                <w:szCs w:val="22"/>
              </w:rPr>
            </w:pPr>
            <w:r>
              <w:rPr>
                <w:rFonts w:hint="default" w:ascii="Gotham Pro" w:hAnsi="Gotham Pro" w:cs="Gotham Pro"/>
                <w:sz w:val="20"/>
                <w:szCs w:val="20"/>
              </w:rPr>
              <w:t>Наименования населенного пункта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202" w:type="pct"/>
            <w:vMerge w:val="continue"/>
            <w:shd w:val="clear" w:color="auto" w:fill="auto"/>
          </w:tcPr>
          <w:p>
            <w:pPr>
              <w:pStyle w:val="14"/>
              <w:rPr>
                <w:sz w:val="22"/>
                <w:szCs w:val="22"/>
              </w:rPr>
            </w:pPr>
          </w:p>
        </w:tc>
        <w:tc>
          <w:tcPr>
            <w:tcW w:w="579" w:type="pct"/>
            <w:vMerge w:val="continue"/>
            <w:shd w:val="clear" w:color="auto" w:fill="auto"/>
          </w:tcPr>
          <w:p>
            <w:pPr>
              <w:pStyle w:val="14"/>
              <w:rPr>
                <w:sz w:val="22"/>
                <w:szCs w:val="22"/>
              </w:rPr>
            </w:pPr>
          </w:p>
        </w:tc>
        <w:tc>
          <w:tcPr>
            <w:tcW w:w="72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76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Гарам</w:t>
            </w:r>
          </w:p>
        </w:tc>
        <w:tc>
          <w:tcPr>
            <w:tcW w:w="75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9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50" w:hRule="atLeast"/>
          <w:tblHeader/>
        </w:trPr>
        <w:tc>
          <w:tcPr>
            <w:tcW w:w="1202" w:type="pct"/>
            <w:shd w:val="clear" w:color="auto" w:fill="auto"/>
          </w:tcPr>
          <w:p>
            <w:pPr>
              <w:pStyle w:val="14"/>
              <w:ind w:left="0" w:leftChars="0" w:firstLine="0" w:firstLineChars="0"/>
              <w:jc w:val="center"/>
              <w:rPr>
                <w:sz w:val="22"/>
                <w:szCs w:val="22"/>
              </w:rPr>
            </w:pPr>
            <w:r>
              <w:rPr>
                <w:sz w:val="22"/>
                <w:szCs w:val="22"/>
              </w:rPr>
              <w:t>1</w:t>
            </w:r>
          </w:p>
        </w:tc>
        <w:tc>
          <w:tcPr>
            <w:tcW w:w="579" w:type="pct"/>
            <w:shd w:val="clear" w:color="auto" w:fill="auto"/>
          </w:tcPr>
          <w:p>
            <w:pPr>
              <w:pStyle w:val="14"/>
              <w:jc w:val="center"/>
              <w:rPr>
                <w:sz w:val="22"/>
                <w:szCs w:val="22"/>
              </w:rPr>
            </w:pPr>
            <w:r>
              <w:rPr>
                <w:sz w:val="22"/>
                <w:szCs w:val="22"/>
              </w:rPr>
              <w:t>2</w:t>
            </w:r>
          </w:p>
        </w:tc>
        <w:tc>
          <w:tcPr>
            <w:tcW w:w="721" w:type="pct"/>
            <w:shd w:val="clear" w:color="auto" w:fill="auto"/>
          </w:tcPr>
          <w:p>
            <w:pPr>
              <w:pStyle w:val="14"/>
              <w:jc w:val="center"/>
              <w:rPr>
                <w:sz w:val="22"/>
                <w:szCs w:val="22"/>
              </w:rPr>
            </w:pPr>
            <w:r>
              <w:rPr>
                <w:sz w:val="22"/>
                <w:szCs w:val="22"/>
              </w:rPr>
              <w:t>3</w:t>
            </w:r>
          </w:p>
        </w:tc>
        <w:tc>
          <w:tcPr>
            <w:tcW w:w="764" w:type="pct"/>
            <w:shd w:val="clear" w:color="auto" w:fill="auto"/>
          </w:tcPr>
          <w:p>
            <w:pPr>
              <w:pStyle w:val="14"/>
              <w:jc w:val="center"/>
              <w:rPr>
                <w:sz w:val="22"/>
                <w:szCs w:val="22"/>
              </w:rPr>
            </w:pPr>
            <w:r>
              <w:rPr>
                <w:sz w:val="22"/>
                <w:szCs w:val="22"/>
              </w:rPr>
              <w:t>4</w:t>
            </w:r>
          </w:p>
        </w:tc>
        <w:tc>
          <w:tcPr>
            <w:tcW w:w="758" w:type="pct"/>
            <w:shd w:val="clear" w:color="auto" w:fill="auto"/>
          </w:tcPr>
          <w:p>
            <w:pPr>
              <w:pStyle w:val="14"/>
              <w:jc w:val="center"/>
              <w:rPr>
                <w:sz w:val="22"/>
                <w:szCs w:val="22"/>
              </w:rPr>
            </w:pPr>
            <w:r>
              <w:rPr>
                <w:sz w:val="22"/>
                <w:szCs w:val="22"/>
              </w:rPr>
              <w:t>5</w:t>
            </w:r>
          </w:p>
        </w:tc>
        <w:tc>
          <w:tcPr>
            <w:tcW w:w="973" w:type="pct"/>
            <w:shd w:val="clear" w:color="auto" w:fill="auto"/>
          </w:tcPr>
          <w:p>
            <w:pPr>
              <w:pStyle w:val="14"/>
              <w:jc w:val="center"/>
              <w:rPr>
                <w:sz w:val="22"/>
                <w:szCs w:val="22"/>
              </w:rPr>
            </w:pPr>
            <w:r>
              <w:rPr>
                <w:sz w:val="22"/>
                <w:szCs w:val="22"/>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202"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Общая численность населения</w:t>
            </w:r>
          </w:p>
        </w:tc>
        <w:tc>
          <w:tcPr>
            <w:tcW w:w="5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чел. (%)</w:t>
            </w:r>
          </w:p>
        </w:tc>
        <w:tc>
          <w:tcPr>
            <w:tcW w:w="72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51 (0,72%)</w:t>
            </w:r>
          </w:p>
        </w:tc>
        <w:tc>
          <w:tcPr>
            <w:tcW w:w="76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186 (2,66%)</w:t>
            </w:r>
          </w:p>
        </w:tc>
        <w:tc>
          <w:tcPr>
            <w:tcW w:w="75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154 (2,21%)</w:t>
            </w:r>
          </w:p>
        </w:tc>
        <w:tc>
          <w:tcPr>
            <w:tcW w:w="9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6606 (94,41%)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20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Население младше трудоспособного возраста</w:t>
            </w:r>
          </w:p>
        </w:tc>
        <w:tc>
          <w:tcPr>
            <w:tcW w:w="5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чел. (%)</w:t>
            </w:r>
          </w:p>
        </w:tc>
        <w:tc>
          <w:tcPr>
            <w:tcW w:w="72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  (0,29%)</w:t>
            </w:r>
          </w:p>
        </w:tc>
        <w:tc>
          <w:tcPr>
            <w:tcW w:w="76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33 ( 1,64%)</w:t>
            </w:r>
          </w:p>
        </w:tc>
        <w:tc>
          <w:tcPr>
            <w:tcW w:w="75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37 (1,84%)</w:t>
            </w:r>
          </w:p>
        </w:tc>
        <w:tc>
          <w:tcPr>
            <w:tcW w:w="9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1926 (96,23%)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20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Население в трудоспособном возрасте</w:t>
            </w:r>
          </w:p>
        </w:tc>
        <w:tc>
          <w:tcPr>
            <w:tcW w:w="5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чел. (%)</w:t>
            </w:r>
          </w:p>
        </w:tc>
        <w:tc>
          <w:tcPr>
            <w:tcW w:w="72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32 (0,81%)</w:t>
            </w:r>
          </w:p>
        </w:tc>
        <w:tc>
          <w:tcPr>
            <w:tcW w:w="76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113 (2,88%)</w:t>
            </w:r>
          </w:p>
        </w:tc>
        <w:tc>
          <w:tcPr>
            <w:tcW w:w="75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83 (2,11%)</w:t>
            </w:r>
          </w:p>
        </w:tc>
        <w:tc>
          <w:tcPr>
            <w:tcW w:w="9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3689 (94,20%)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20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Население старше трудоспособного возраста</w:t>
            </w:r>
          </w:p>
        </w:tc>
        <w:tc>
          <w:tcPr>
            <w:tcW w:w="5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чел. (%)</w:t>
            </w:r>
          </w:p>
        </w:tc>
        <w:tc>
          <w:tcPr>
            <w:tcW w:w="72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 ( 1,2%)</w:t>
            </w:r>
          </w:p>
        </w:tc>
        <w:tc>
          <w:tcPr>
            <w:tcW w:w="76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40 ( 3,71%)</w:t>
            </w:r>
          </w:p>
        </w:tc>
        <w:tc>
          <w:tcPr>
            <w:tcW w:w="75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34 (3,15%)</w:t>
            </w:r>
          </w:p>
        </w:tc>
        <w:tc>
          <w:tcPr>
            <w:tcW w:w="9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991 ( 91,94%)</w:t>
            </w:r>
          </w:p>
        </w:tc>
      </w:tr>
    </w:tbl>
    <w:p>
      <w:pPr>
        <w:pStyle w:val="11"/>
        <w:shd w:val="clear" w:color="auto" w:fill="FFFFFF"/>
        <w:spacing w:line="276" w:lineRule="auto"/>
        <w:ind w:firstLine="567"/>
        <w:jc w:val="right"/>
        <w:rPr>
          <w:rFonts w:hint="default" w:ascii="Gotham Pro" w:hAnsi="Gotham Pro" w:cs="Gotham Pro"/>
          <w:sz w:val="20"/>
          <w:szCs w:val="20"/>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r>
        <w:rPr>
          <w:rFonts w:hint="default" w:ascii="Gotham Pro" w:hAnsi="Gotham Pro" w:cs="Gotham Pro"/>
          <w:b/>
          <w:bCs/>
          <w:sz w:val="24"/>
          <w:szCs w:val="24"/>
        </w:rPr>
        <w:t>Природные условия и ресурсы поселения</w:t>
      </w: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6" w:leftChars="0" w:firstLine="435"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Климат</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Климат резко-континентальный с малоснежной, длительной и морозной зимой, коротким</w:t>
      </w:r>
      <w:r>
        <w:rPr>
          <w:rFonts w:hint="default" w:ascii="Gotham Pro" w:hAnsi="Gotham Pro" w:cs="Gotham Pro"/>
          <w:sz w:val="24"/>
          <w:szCs w:val="24"/>
          <w:lang w:val="ru-RU"/>
        </w:rPr>
        <w:t xml:space="preserve"> и</w:t>
      </w:r>
      <w:r>
        <w:rPr>
          <w:rFonts w:hint="default" w:ascii="Gotham Pro" w:hAnsi="Gotham Pro" w:cs="Gotham Pro"/>
          <w:sz w:val="24"/>
          <w:szCs w:val="24"/>
        </w:rPr>
        <w:t xml:space="preserve"> теплым летом. Самая низкая температура января доходит до 45 – 50</w:t>
      </w:r>
      <w:r>
        <w:rPr>
          <w:rFonts w:hint="default" w:ascii="Gotham Pro" w:hAnsi="Gotham Pro" w:cs="Gotham Pro"/>
          <w:sz w:val="24"/>
          <w:szCs w:val="24"/>
          <w:vertAlign w:val="superscript"/>
        </w:rPr>
        <w:t>о</w:t>
      </w:r>
      <w:r>
        <w:rPr>
          <w:rFonts w:hint="default" w:ascii="Gotham Pro" w:hAnsi="Gotham Pro" w:cs="Gotham Pro"/>
          <w:sz w:val="24"/>
          <w:szCs w:val="24"/>
        </w:rPr>
        <w:t>С ниже нуля, а высокие летние температуры в июле поднимаются до 25 – 28</w:t>
      </w:r>
      <w:r>
        <w:rPr>
          <w:rFonts w:hint="default" w:ascii="Gotham Pro" w:hAnsi="Gotham Pro" w:cs="Gotham Pro"/>
          <w:sz w:val="24"/>
          <w:szCs w:val="24"/>
          <w:vertAlign w:val="superscript"/>
        </w:rPr>
        <w:t>о</w:t>
      </w:r>
      <w:r>
        <w:rPr>
          <w:rFonts w:hint="default" w:ascii="Gotham Pro" w:hAnsi="Gotham Pro" w:cs="Gotham Pro"/>
          <w:sz w:val="24"/>
          <w:szCs w:val="24"/>
        </w:rPr>
        <w:t>С выше нуля (ночью температура падает до 5-8</w:t>
      </w:r>
      <w:r>
        <w:rPr>
          <w:rFonts w:hint="default" w:ascii="Gotham Pro" w:hAnsi="Gotham Pro" w:cs="Gotham Pro"/>
          <w:sz w:val="24"/>
          <w:szCs w:val="24"/>
          <w:vertAlign w:val="superscript"/>
        </w:rPr>
        <w:t>о</w:t>
      </w:r>
      <w:r>
        <w:rPr>
          <w:rFonts w:hint="default" w:ascii="Gotham Pro" w:hAnsi="Gotham Pro" w:cs="Gotham Pro"/>
          <w:sz w:val="24"/>
          <w:szCs w:val="24"/>
        </w:rPr>
        <w:t>С). Количество осадков в год в среднем составляет 270-310 мм в год, большая часть их выпадает в августе.</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6" w:leftChars="0" w:firstLine="435"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Рельеф</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Еравнинский район расположен в межгорной лесостепной котловине на южной окраине Витимского плоскогорья, в бассейнах рек Селенги и Витима - Лены.Основные черты современной земной поверхности района представлены следующими формами рельефа: древнее Витимское плоскогорье, Еравнинская межгорная котловина, речные долины, по которым протекают крупные реки Витим, Уда, Конда.Со всех сторон территория района окаймляется отрогами крупных хребтов. С юго-востока - отрогами Яблоневого хребта, с юга - хребтом Цаган-Хуртэй, с запада - Селенгинским среднегорьем. Самые высокие отметки плоскогорья находятся севернее среднего течения реки Зазы (1269 м) и северо-восточнее поселка Багдарин (1598 м).</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6" w:leftChars="0" w:firstLine="435"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Гидрография и гидрология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Территория Еравнинского района, в том числе в границах МО СП «Сосново-Озерское» богата озерами, на территории района насчитывается свыше 10 больших и более 200 мелких водоемов. Они расположены на месте обширных древних озер мезозойского периода. Общая площадь озер составляет 38,9 тысяч га, из которых самыми крупными являются озеро Большая Еравна (площадь – 946 га, глубина – до 6 метров), оз. Малая Еравна, оз. Сосновое, оз. Гунда, оз. Исинга и др.</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Перечень водных объектов, расположенных на территории МО СП «Сосново-Озерское» приведен в таблице 1.2.3.-1.</w:t>
      </w:r>
    </w:p>
    <w:p>
      <w:pPr>
        <w:pStyle w:val="11"/>
        <w:spacing w:line="276" w:lineRule="auto"/>
        <w:ind w:left="5" w:leftChars="0" w:firstLine="434" w:firstLineChars="181"/>
        <w:jc w:val="both"/>
        <w:rPr>
          <w:rFonts w:ascii="Times New Roman" w:hAnsi="Times New Roman" w:cs="Times New Roman"/>
          <w:sz w:val="24"/>
          <w:szCs w:val="24"/>
        </w:rPr>
      </w:pPr>
    </w:p>
    <w:p>
      <w:pPr>
        <w:pStyle w:val="11"/>
        <w:spacing w:line="276" w:lineRule="auto"/>
        <w:ind w:left="567"/>
        <w:jc w:val="center"/>
        <w:rPr>
          <w:rFonts w:hint="default" w:ascii="Gotham Pro" w:hAnsi="Gotham Pro" w:cs="Gotham Pro"/>
          <w:sz w:val="20"/>
          <w:szCs w:val="20"/>
        </w:rPr>
      </w:pPr>
    </w:p>
    <w:p>
      <w:pPr>
        <w:pStyle w:val="11"/>
        <w:spacing w:line="276" w:lineRule="auto"/>
        <w:ind w:left="567"/>
        <w:jc w:val="center"/>
        <w:rPr>
          <w:rFonts w:hint="default" w:ascii="Gotham Pro" w:hAnsi="Gotham Pro" w:cs="Gotham Pro"/>
          <w:sz w:val="20"/>
          <w:szCs w:val="20"/>
        </w:rPr>
      </w:pPr>
    </w:p>
    <w:p>
      <w:pPr>
        <w:pStyle w:val="11"/>
        <w:spacing w:line="276" w:lineRule="auto"/>
        <w:ind w:left="567"/>
        <w:jc w:val="center"/>
        <w:rPr>
          <w:rFonts w:hint="default" w:ascii="Gotham Pro" w:hAnsi="Gotham Pro" w:cs="Gotham Pro"/>
          <w:sz w:val="20"/>
          <w:szCs w:val="20"/>
        </w:rPr>
      </w:pPr>
    </w:p>
    <w:p>
      <w:pPr>
        <w:pStyle w:val="11"/>
        <w:spacing w:line="276" w:lineRule="auto"/>
        <w:ind w:left="567"/>
        <w:jc w:val="center"/>
        <w:rPr>
          <w:rFonts w:hint="default" w:ascii="Gotham Pro" w:hAnsi="Gotham Pro" w:cs="Gotham Pro"/>
          <w:sz w:val="20"/>
          <w:szCs w:val="20"/>
        </w:rPr>
      </w:pPr>
    </w:p>
    <w:p>
      <w:pPr>
        <w:pStyle w:val="11"/>
        <w:spacing w:line="276" w:lineRule="auto"/>
        <w:ind w:left="567"/>
        <w:jc w:val="center"/>
        <w:rPr>
          <w:rFonts w:hint="default" w:ascii="Gotham Pro" w:hAnsi="Gotham Pro" w:cs="Gotham Pro"/>
          <w:sz w:val="20"/>
          <w:szCs w:val="20"/>
        </w:rPr>
      </w:pPr>
    </w:p>
    <w:p>
      <w:pPr>
        <w:pStyle w:val="11"/>
        <w:spacing w:line="276" w:lineRule="auto"/>
        <w:ind w:left="567"/>
        <w:jc w:val="center"/>
        <w:rPr>
          <w:rFonts w:hint="default" w:ascii="Gotham Pro" w:hAnsi="Gotham Pro" w:cs="Gotham Pro"/>
          <w:sz w:val="20"/>
          <w:szCs w:val="20"/>
        </w:rPr>
      </w:pPr>
    </w:p>
    <w:p>
      <w:pPr>
        <w:pStyle w:val="11"/>
        <w:spacing w:line="276" w:lineRule="auto"/>
        <w:ind w:left="567"/>
        <w:jc w:val="center"/>
        <w:rPr>
          <w:rFonts w:hint="default" w:ascii="Gotham Pro" w:hAnsi="Gotham Pro" w:cs="Gotham Pro"/>
          <w:sz w:val="20"/>
          <w:szCs w:val="20"/>
        </w:rPr>
      </w:pPr>
      <w:r>
        <w:rPr>
          <w:rFonts w:hint="default" w:ascii="Gotham Pro" w:hAnsi="Gotham Pro" w:cs="Gotham Pro"/>
          <w:sz w:val="20"/>
          <w:szCs w:val="20"/>
        </w:rPr>
        <w:t>Водные объекты на территории МО СП «Сосново-Озерское»</w:t>
      </w:r>
    </w:p>
    <w:p>
      <w:pPr>
        <w:pStyle w:val="11"/>
        <w:spacing w:line="276" w:lineRule="auto"/>
        <w:ind w:left="567"/>
        <w:jc w:val="right"/>
        <w:rPr>
          <w:rFonts w:hint="default" w:ascii="Gotham Pro" w:hAnsi="Gotham Pro" w:cs="Gotham Pro"/>
          <w:sz w:val="20"/>
          <w:szCs w:val="20"/>
        </w:rPr>
      </w:pPr>
      <w:r>
        <w:rPr>
          <w:rFonts w:hint="default" w:ascii="Gotham Pro" w:hAnsi="Gotham Pro" w:cs="Gotham Pro"/>
          <w:sz w:val="20"/>
          <w:szCs w:val="20"/>
        </w:rPr>
        <w:t>таблица 1.2.3.-1</w:t>
      </w:r>
    </w:p>
    <w:tbl>
      <w:tblPr>
        <w:tblStyle w:val="3"/>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18"/>
        <w:gridCol w:w="3060"/>
        <w:gridCol w:w="1714"/>
        <w:gridCol w:w="1546"/>
        <w:gridCol w:w="13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4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водного объекта</w:t>
            </w:r>
          </w:p>
        </w:tc>
        <w:tc>
          <w:tcPr>
            <w:tcW w:w="15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Сведения об объекте</w:t>
            </w: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Водоохранная зона,</w:t>
            </w:r>
            <w:r>
              <w:rPr>
                <w:rFonts w:hint="default" w:ascii="Gotham Pro" w:hAnsi="Gotham Pro" w:cs="Gotham Pro"/>
                <w:sz w:val="20"/>
                <w:szCs w:val="20"/>
                <w:lang w:val="ru-RU"/>
              </w:rPr>
              <w:t xml:space="preserve"> </w:t>
            </w:r>
            <w:r>
              <w:rPr>
                <w:rFonts w:hint="default" w:ascii="Gotham Pro" w:hAnsi="Gotham Pro" w:cs="Gotham Pro"/>
                <w:sz w:val="20"/>
                <w:szCs w:val="20"/>
              </w:rPr>
              <w:t>м</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Прибрежная защитная полоса, м</w:t>
            </w:r>
          </w:p>
        </w:tc>
        <w:tc>
          <w:tcPr>
            <w:tcW w:w="698"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Береговая полоса,</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41"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57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884"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79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69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Сосновое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Площадь поверхности озера — 24 км², площадь водосборного бассейна — 224 км². Высота над уровнем моря — 949,3 м. Имеет размеры около 6,5 км в длину и до 4,3 км в ширину. В северной части соединено протокой с озером Большим Еравным. Озеро богато рыбой.</w:t>
            </w: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Индок</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highlight w:val="yellow"/>
                <w:lang w:val="ru-RU" w:eastAsia="ru-RU" w:bidi="ar-SA"/>
              </w:rPr>
            </w:pPr>
            <w:r>
              <w:rPr>
                <w:rFonts w:hint="default" w:ascii="Gotham Pro" w:hAnsi="Gotham Pro" w:cs="Gotham Pro"/>
                <w:sz w:val="20"/>
                <w:szCs w:val="20"/>
                <w:highlight w:val="yellow"/>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Холостуйское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highlight w:val="yellow"/>
                <w:lang w:val="ru-RU" w:eastAsia="ru-RU" w:bidi="ar-SA"/>
              </w:rPr>
            </w:pPr>
            <w:r>
              <w:rPr>
                <w:rFonts w:hint="default" w:ascii="Gotham Pro" w:hAnsi="Gotham Pro" w:cs="Gotham Pro"/>
                <w:sz w:val="20"/>
                <w:szCs w:val="20"/>
                <w:highlight w:val="yellow"/>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Долгое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highlight w:val="yellow"/>
                <w:lang w:val="ru-RU" w:eastAsia="ru-RU" w:bidi="ar-SA"/>
              </w:rPr>
            </w:pPr>
            <w:r>
              <w:rPr>
                <w:rFonts w:hint="default" w:ascii="Gotham Pro" w:hAnsi="Gotham Pro" w:cs="Gotham Pro"/>
                <w:sz w:val="20"/>
                <w:szCs w:val="20"/>
                <w:highlight w:val="yellow"/>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Каменное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Укырское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Куку-Нур</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Сойда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Жалга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Ханхор</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Малая Иренга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Средняя Иренга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Большая Иренга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Щучье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Олунурские озера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Правая Кыргында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Левая Кыргында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Молдога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оз.Имторон</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Бургунда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оз.Шиниста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оз.Хоготуй</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оз.Хорхойта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Хара-Торм</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оз. Хаймисановское</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 Уда</w:t>
            </w:r>
          </w:p>
        </w:tc>
        <w:tc>
          <w:tcPr>
            <w:tcW w:w="157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правый приток Селенги. Протекает по территории Еравнинского, Хоринского, Заиграевского районов и городского округа Улан-Удэ Республики Бурятия. Длина</w:t>
            </w:r>
            <w:r>
              <w:rPr>
                <w:rFonts w:hint="default" w:ascii="Gotham Pro" w:hAnsi="Gotham Pro" w:cs="Gotham Pro"/>
                <w:sz w:val="20"/>
                <w:szCs w:val="20"/>
              </w:rPr>
              <w:tab/>
            </w:r>
            <w:r>
              <w:rPr>
                <w:rFonts w:hint="default" w:ascii="Gotham Pro" w:hAnsi="Gotham Pro" w:cs="Gotham Pro"/>
                <w:sz w:val="20"/>
                <w:szCs w:val="20"/>
              </w:rPr>
              <w:t>- 467 км, площадь бассейна - 34 800 км²</w:t>
            </w: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 Домная</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 Индола</w:t>
            </w:r>
          </w:p>
        </w:tc>
        <w:tc>
          <w:tcPr>
            <w:tcW w:w="157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88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79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bl>
    <w:p>
      <w:pPr>
        <w:pStyle w:val="11"/>
        <w:spacing w:line="276" w:lineRule="auto"/>
        <w:ind w:left="567"/>
        <w:jc w:val="right"/>
        <w:rPr>
          <w:rFonts w:hint="default" w:ascii="Gotham Pro" w:hAnsi="Gotham Pro" w:cs="Gotham Pro"/>
          <w:sz w:val="20"/>
          <w:szCs w:val="20"/>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Почвы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Почвенный покров представлен в основном болотными, лугово-болотными, лугово-глеевыми, аллювиальными, дерново-подзолистыми, каштановыми почвами. Встречаются такие типы почв: мерзлотно-лугово-лесные, мерзлотно-луговые и мерзлотно-лугово-черноземные. Последний тип почвы занимает большую часть Еравнинской межгорной впадины. Они образованы в условиях глубокого залегания мерзлоты  при слабом увлажнении и изреженной травянистой растительности. На образование таких типов почв оказали влияние относительно высоко поднятая территория над уровнем моря, континентальность климата и вечная мерзлота, которая оттаивает за лето от 0,5-1,5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По данным республиканской агрохимической лаборатории большинство таких почв имеют низкое содержание подвижных питательных веществ, особенно фосфора. Азотное голодание растений наблюдается даже на почвах, хорошо обеспеченных гумусом.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Лесные ресурсы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На территории МО СП «Сосново-Озерское» расположены леса Еравнинского сельского участкового лесничества Еравнинского лесничества (рис. 1.2.5.-1). В ЕГРН сведения о границе Еравнинского лесничества содержатся под реестровым номером 03:05-15.2.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сведениям Лесохозяйственного регламента Еравнинского лесничества, утвержденного приказом Республиканского агентства лесного хозяйства от 29.08.2018 № 875, площадь Еравнинского лесничества составляет 1060597 га. В состав лесничества входит семь участковых лесничеств, в том числе Еравнинское сельское(таблица 1.2.5.-1). В состав Еравнинского сельского участкового лесничества входят шестнадцать технических участков, в том числе технический участок № 6 СПК «Улан-Туя» и технический участок № 8 СПК «Сосновский».</w:t>
      </w: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jc w:val="center"/>
        <w:rPr>
          <w:rFonts w:hint="default" w:ascii="Gotham Pro" w:hAnsi="Gotham Pro" w:cs="Gotham Pro"/>
          <w:sz w:val="20"/>
          <w:szCs w:val="20"/>
        </w:rPr>
      </w:pPr>
    </w:p>
    <w:p>
      <w:pPr>
        <w:pStyle w:val="11"/>
        <w:jc w:val="center"/>
        <w:rPr>
          <w:rFonts w:hint="default" w:ascii="Gotham Pro" w:hAnsi="Gotham Pro" w:cs="Gotham Pro"/>
          <w:sz w:val="20"/>
          <w:szCs w:val="20"/>
        </w:rPr>
      </w:pPr>
      <w:r>
        <w:rPr>
          <w:rFonts w:hint="default" w:ascii="Gotham Pro" w:hAnsi="Gotham Pro" w:cs="Gotham Pro"/>
          <w:sz w:val="20"/>
          <w:szCs w:val="20"/>
        </w:rPr>
        <w:t>Местоположение Еравнинского лесничества</w:t>
      </w:r>
    </w:p>
    <w:p>
      <w:pPr>
        <w:pStyle w:val="11"/>
        <w:jc w:val="right"/>
        <w:rPr>
          <w:rFonts w:hint="default" w:ascii="Gotham Pro" w:hAnsi="Gotham Pro" w:cs="Gotham Pro"/>
          <w:sz w:val="20"/>
          <w:szCs w:val="20"/>
          <w:lang w:val="ru-RU"/>
        </w:rPr>
      </w:pPr>
      <w:r>
        <w:rPr>
          <w:rFonts w:hint="default" w:ascii="Gotham Pro" w:hAnsi="Gotham Pro" w:cs="Gotham Pro"/>
          <w:sz w:val="20"/>
          <w:szCs w:val="20"/>
        </w:rPr>
        <w:t>рис. 1.2.5.</w:t>
      </w:r>
      <w:r>
        <w:rPr>
          <w:rFonts w:hint="default" w:ascii="Gotham Pro" w:hAnsi="Gotham Pro" w:cs="Gotham Pro"/>
          <w:sz w:val="20"/>
          <w:szCs w:val="20"/>
          <w:lang w:val="ru-RU"/>
        </w:rPr>
        <w:t>-1</w:t>
      </w:r>
    </w:p>
    <w:p>
      <w:pPr>
        <w:pStyle w:val="11"/>
        <w:jc w:val="center"/>
        <w:rPr>
          <w:rFonts w:hint="default" w:ascii="Times New Roman" w:hAnsi="Times New Roman" w:cs="Times New Roman"/>
          <w:sz w:val="24"/>
          <w:szCs w:val="24"/>
          <w:lang w:val="ru-RU"/>
        </w:rPr>
      </w:pPr>
    </w:p>
    <w:p>
      <w:pPr>
        <w:pStyle w:val="11"/>
        <w:jc w:val="center"/>
        <w:rPr>
          <w:sz w:val="28"/>
          <w:szCs w:val="28"/>
        </w:rPr>
      </w:pPr>
      <w:r>
        <w:drawing>
          <wp:inline distT="0" distB="0" distL="0" distR="0">
            <wp:extent cx="5676900" cy="3670935"/>
            <wp:effectExtent l="0" t="0" r="7620" b="1905"/>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6"/>
                    <pic:cNvPicPr>
                      <a:picLocks noChangeAspect="1"/>
                    </pic:cNvPicPr>
                  </pic:nvPicPr>
                  <pic:blipFill>
                    <a:blip r:embed="rId11"/>
                    <a:stretch>
                      <a:fillRect/>
                    </a:stretch>
                  </pic:blipFill>
                  <pic:spPr>
                    <a:xfrm>
                      <a:off x="0" y="0"/>
                      <a:ext cx="5676900" cy="3670935"/>
                    </a:xfrm>
                    <a:prstGeom prst="rect">
                      <a:avLst/>
                    </a:prstGeom>
                  </pic:spPr>
                </pic:pic>
              </a:graphicData>
            </a:graphic>
          </wp:inline>
        </w:drawing>
      </w: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Структура Еравнинского лесничества</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1.2.5.-1</w:t>
      </w:r>
    </w:p>
    <w:tbl>
      <w:tblPr>
        <w:tblStyle w:val="3"/>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74"/>
        <w:gridCol w:w="4788"/>
        <w:gridCol w:w="2640"/>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4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247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участковых лесничеств</w:t>
            </w:r>
          </w:p>
        </w:tc>
        <w:tc>
          <w:tcPr>
            <w:tcW w:w="136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Административный район (муниципальное образование)</w:t>
            </w:r>
          </w:p>
        </w:tc>
        <w:tc>
          <w:tcPr>
            <w:tcW w:w="807"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Общая площадь,</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48" w:type="pct"/>
            <w:shd w:val="clear" w:color="auto" w:fill="auto"/>
          </w:tcPr>
          <w:p>
            <w:pPr>
              <w:pStyle w:val="14"/>
              <w:ind w:left="0" w:leftChars="0" w:firstLine="0" w:firstLineChars="0"/>
              <w:jc w:val="center"/>
              <w:rPr>
                <w:sz w:val="22"/>
                <w:szCs w:val="22"/>
              </w:rPr>
            </w:pPr>
            <w:r>
              <w:rPr>
                <w:sz w:val="22"/>
                <w:szCs w:val="22"/>
              </w:rPr>
              <w:t>1</w:t>
            </w:r>
          </w:p>
        </w:tc>
        <w:tc>
          <w:tcPr>
            <w:tcW w:w="2477" w:type="pct"/>
            <w:shd w:val="clear" w:color="auto" w:fill="auto"/>
          </w:tcPr>
          <w:p>
            <w:pPr>
              <w:pStyle w:val="14"/>
              <w:jc w:val="center"/>
              <w:rPr>
                <w:sz w:val="22"/>
                <w:szCs w:val="22"/>
              </w:rPr>
            </w:pPr>
            <w:r>
              <w:rPr>
                <w:sz w:val="22"/>
                <w:szCs w:val="22"/>
              </w:rPr>
              <w:t>2</w:t>
            </w:r>
          </w:p>
        </w:tc>
        <w:tc>
          <w:tcPr>
            <w:tcW w:w="1366" w:type="pct"/>
            <w:shd w:val="clear" w:color="auto" w:fill="auto"/>
          </w:tcPr>
          <w:p>
            <w:pPr>
              <w:pStyle w:val="14"/>
              <w:ind w:left="0" w:leftChars="0" w:firstLine="0" w:firstLineChars="0"/>
              <w:jc w:val="center"/>
              <w:rPr>
                <w:sz w:val="22"/>
                <w:szCs w:val="22"/>
              </w:rPr>
            </w:pPr>
            <w:r>
              <w:rPr>
                <w:sz w:val="22"/>
                <w:szCs w:val="22"/>
              </w:rPr>
              <w:t>3</w:t>
            </w:r>
          </w:p>
        </w:tc>
        <w:tc>
          <w:tcPr>
            <w:tcW w:w="807" w:type="pct"/>
            <w:shd w:val="clear" w:color="auto" w:fill="auto"/>
          </w:tcPr>
          <w:p>
            <w:pPr>
              <w:pStyle w:val="14"/>
              <w:ind w:left="0" w:leftChars="0" w:firstLine="0" w:firstLineChars="0"/>
              <w:jc w:val="center"/>
              <w:rPr>
                <w:sz w:val="22"/>
                <w:szCs w:val="22"/>
              </w:rPr>
            </w:pPr>
            <w:r>
              <w:rPr>
                <w:sz w:val="22"/>
                <w:szCs w:val="22"/>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1 </w:t>
            </w: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Можайское </w:t>
            </w:r>
          </w:p>
        </w:tc>
        <w:tc>
          <w:tcPr>
            <w:tcW w:w="1366" w:type="pct"/>
            <w:vMerge w:val="restar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Еравнинский</w:t>
            </w: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76007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2 </w:t>
            </w: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Гундинское</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123815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3 </w:t>
            </w: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Тужинское </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128693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4 </w:t>
            </w: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Сосново-Озерское </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102395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5 </w:t>
            </w: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Еравнинское </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94925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6 </w:t>
            </w: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Зазинское</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315307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 xml:space="preserve">7 </w:t>
            </w:r>
          </w:p>
        </w:tc>
        <w:tc>
          <w:tcPr>
            <w:tcW w:w="2477" w:type="pct"/>
            <w:shd w:val="clear" w:color="auto" w:fill="auto"/>
            <w:vAlign w:val="top"/>
          </w:tcPr>
          <w:p>
            <w:pPr>
              <w:pStyle w:val="11"/>
              <w:jc w:val="both"/>
              <w:rPr>
                <w:rFonts w:hint="default" w:ascii="Gotham Pro" w:hAnsi="Gotham Pro" w:cs="Gotham Pro"/>
                <w:b/>
                <w:bCs/>
                <w:sz w:val="20"/>
                <w:szCs w:val="20"/>
              </w:rPr>
            </w:pPr>
            <w:r>
              <w:rPr>
                <w:rFonts w:hint="default" w:ascii="Gotham Pro" w:hAnsi="Gotham Pro" w:cs="Gotham Pro"/>
                <w:b/>
                <w:bCs/>
                <w:sz w:val="20"/>
                <w:szCs w:val="20"/>
              </w:rPr>
              <w:t xml:space="preserve">Еравнинское сельское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 xml:space="preserve">всего, в т.ч. </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219455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1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СПК "Юбилейный" </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20 898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32"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2 СПК «Победа»</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7 644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3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«Эгитуйский»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5 961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4 СПК «Дружба»</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4 795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5 АККМ «Улхасаа»</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21 351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b/>
                <w:bCs/>
                <w:sz w:val="20"/>
                <w:szCs w:val="20"/>
              </w:rPr>
            </w:pPr>
            <w:r>
              <w:rPr>
                <w:rFonts w:hint="default" w:ascii="Gotham Pro" w:hAnsi="Gotham Pro" w:cs="Gotham Pro"/>
                <w:b/>
                <w:bCs/>
                <w:sz w:val="20"/>
                <w:szCs w:val="20"/>
              </w:rPr>
              <w:t xml:space="preserve">технический участок № 6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СПК «Улан-Туя»</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7 627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7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«Ульдурга»</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6 503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b/>
                <w:bCs/>
                <w:sz w:val="20"/>
                <w:szCs w:val="20"/>
              </w:rPr>
            </w:pPr>
            <w:r>
              <w:rPr>
                <w:rFonts w:hint="default" w:ascii="Gotham Pro" w:hAnsi="Gotham Pro" w:cs="Gotham Pro"/>
                <w:b/>
                <w:bCs/>
                <w:sz w:val="20"/>
                <w:szCs w:val="20"/>
              </w:rPr>
              <w:t xml:space="preserve">технический участок № 8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СПК «Сосновский»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24 027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9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«Хоргинский»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243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10 СПК «Еравнинский»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13 839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11 СПК «Целинный»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14 826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12 СПК «Витимский»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7 225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13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«Ширингинский»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3 701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14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«Комсомольский»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11 098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15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«Тулдунский»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7 582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технический участок № 16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СПК «Исингинский»</w:t>
            </w:r>
          </w:p>
        </w:tc>
        <w:tc>
          <w:tcPr>
            <w:tcW w:w="1366"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62 135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48"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2477" w:type="pct"/>
            <w:shd w:val="clear" w:color="auto" w:fill="auto"/>
            <w:vAlign w:val="top"/>
          </w:tcPr>
          <w:p>
            <w:pPr>
              <w:pStyle w:val="11"/>
              <w:jc w:val="both"/>
              <w:rPr>
                <w:rFonts w:hint="default" w:ascii="Gotham Pro" w:hAnsi="Gotham Pro" w:cs="Gotham Pro" w:eastAsiaTheme="minorEastAsia"/>
                <w:b/>
                <w:bCs/>
                <w:sz w:val="20"/>
                <w:szCs w:val="20"/>
                <w:lang w:val="ru-RU" w:eastAsia="ru-RU" w:bidi="ar-SA"/>
              </w:rPr>
            </w:pPr>
            <w:r>
              <w:rPr>
                <w:rFonts w:hint="default" w:ascii="Gotham Pro" w:hAnsi="Gotham Pro" w:cs="Gotham Pro"/>
                <w:b/>
                <w:bCs/>
                <w:sz w:val="20"/>
                <w:szCs w:val="20"/>
              </w:rPr>
              <w:t>Всего по лесничеству</w:t>
            </w:r>
            <w:r>
              <w:rPr>
                <w:rFonts w:hint="default" w:ascii="Gotham Pro" w:hAnsi="Gotham Pro" w:cs="Gotham Pro"/>
                <w:b/>
                <w:bCs/>
                <w:sz w:val="20"/>
                <w:szCs w:val="20"/>
                <w:lang w:val="ru-RU"/>
              </w:rPr>
              <w:t xml:space="preserve"> </w:t>
            </w:r>
            <w:r>
              <w:rPr>
                <w:rFonts w:hint="default" w:ascii="Gotham Pro" w:hAnsi="Gotham Pro" w:cs="Gotham Pro"/>
                <w:b/>
                <w:bCs/>
                <w:sz w:val="20"/>
                <w:szCs w:val="20"/>
              </w:rPr>
              <w:t xml:space="preserve">(лесопарку): </w:t>
            </w:r>
          </w:p>
        </w:tc>
        <w:tc>
          <w:tcPr>
            <w:tcW w:w="136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1 060597</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Перечню лесорастительных зон Российской Федерации и Перечню лесных районов Российской Федерации, утвержденного приказом Минприроды России от 18.08.2014 № 367 «Об утверждении Перечня лесорастительных зон Российской Федерации и Перечня лесных районов Российской Федерации», вся территория лесничества отнесена к Южно-Сибирской горной зоны Забайкальского горно-мерзлотного лесного района.</w:t>
      </w: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Распределение лесов технических участков</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6 СПК «Улан-Туя» и технического участка № 8 СПК «Сосновский»</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Еравнинского участкового лесничества Еравнинского лесничества</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по лесорастительным зонам и лесным районам</w:t>
      </w:r>
    </w:p>
    <w:p>
      <w:pPr>
        <w:pStyle w:val="11"/>
        <w:spacing w:line="276" w:lineRule="auto"/>
        <w:jc w:val="right"/>
        <w:rPr>
          <w:rFonts w:hint="default" w:ascii="Gotham Pro" w:hAnsi="Gotham Pro" w:cs="Gotham Pro"/>
          <w:sz w:val="20"/>
          <w:szCs w:val="20"/>
        </w:rPr>
      </w:pPr>
      <w:r>
        <w:rPr>
          <w:rFonts w:hint="default" w:ascii="Gotham Pro" w:hAnsi="Gotham Pro" w:cs="Gotham Pro"/>
          <w:sz w:val="20"/>
          <w:szCs w:val="20"/>
        </w:rPr>
        <w:t>таблица 1.2.5-2</w:t>
      </w:r>
    </w:p>
    <w:tbl>
      <w:tblPr>
        <w:tblStyle w:val="3"/>
        <w:tblW w:w="49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102"/>
        <w:gridCol w:w="1788"/>
        <w:gridCol w:w="1272"/>
        <w:gridCol w:w="1860"/>
        <w:gridCol w:w="1284"/>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8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участковых лесничеств</w:t>
            </w:r>
          </w:p>
        </w:tc>
        <w:tc>
          <w:tcPr>
            <w:tcW w:w="920"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Лесорастительная зона,</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Лесной район</w:t>
            </w:r>
          </w:p>
        </w:tc>
        <w:tc>
          <w:tcPr>
            <w:tcW w:w="65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лесозащитного районирования</w:t>
            </w:r>
          </w:p>
        </w:tc>
        <w:tc>
          <w:tcPr>
            <w:tcW w:w="95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лесосеменного районирования</w:t>
            </w:r>
          </w:p>
        </w:tc>
        <w:tc>
          <w:tcPr>
            <w:tcW w:w="66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Перечень лесных кварталов</w:t>
            </w:r>
          </w:p>
        </w:tc>
        <w:tc>
          <w:tcPr>
            <w:tcW w:w="72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Площадь, 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82" w:type="pct"/>
            <w:shd w:val="clear" w:color="auto" w:fill="auto"/>
          </w:tcPr>
          <w:p>
            <w:pPr>
              <w:pStyle w:val="14"/>
              <w:ind w:left="0" w:leftChars="0" w:firstLine="0" w:firstLineChars="0"/>
              <w:jc w:val="center"/>
              <w:rPr>
                <w:sz w:val="22"/>
                <w:szCs w:val="22"/>
              </w:rPr>
            </w:pPr>
            <w:r>
              <w:rPr>
                <w:sz w:val="22"/>
                <w:szCs w:val="22"/>
              </w:rPr>
              <w:t>1</w:t>
            </w:r>
          </w:p>
        </w:tc>
        <w:tc>
          <w:tcPr>
            <w:tcW w:w="920" w:type="pct"/>
            <w:shd w:val="clear" w:color="auto" w:fill="auto"/>
          </w:tcPr>
          <w:p>
            <w:pPr>
              <w:pStyle w:val="14"/>
              <w:ind w:left="0" w:leftChars="0" w:firstLine="0" w:firstLineChars="0"/>
              <w:jc w:val="center"/>
              <w:rPr>
                <w:sz w:val="22"/>
                <w:szCs w:val="22"/>
              </w:rPr>
            </w:pPr>
            <w:r>
              <w:rPr>
                <w:sz w:val="22"/>
                <w:szCs w:val="22"/>
              </w:rPr>
              <w:t>2</w:t>
            </w:r>
          </w:p>
        </w:tc>
        <w:tc>
          <w:tcPr>
            <w:tcW w:w="654" w:type="pct"/>
            <w:shd w:val="clear" w:color="auto" w:fill="auto"/>
          </w:tcPr>
          <w:p>
            <w:pPr>
              <w:pStyle w:val="14"/>
              <w:ind w:left="0" w:leftChars="0" w:firstLine="0" w:firstLineChars="0"/>
              <w:jc w:val="center"/>
              <w:rPr>
                <w:sz w:val="22"/>
                <w:szCs w:val="22"/>
              </w:rPr>
            </w:pPr>
            <w:r>
              <w:rPr>
                <w:sz w:val="22"/>
                <w:szCs w:val="22"/>
              </w:rPr>
              <w:t>3</w:t>
            </w:r>
          </w:p>
        </w:tc>
        <w:tc>
          <w:tcPr>
            <w:tcW w:w="957" w:type="pct"/>
            <w:shd w:val="clear" w:color="auto" w:fill="auto"/>
          </w:tcPr>
          <w:p>
            <w:pPr>
              <w:pStyle w:val="14"/>
              <w:ind w:left="0" w:leftChars="0" w:firstLine="0" w:firstLineChars="0"/>
              <w:jc w:val="center"/>
              <w:rPr>
                <w:sz w:val="22"/>
                <w:szCs w:val="22"/>
              </w:rPr>
            </w:pPr>
            <w:r>
              <w:rPr>
                <w:sz w:val="22"/>
                <w:szCs w:val="22"/>
              </w:rPr>
              <w:t>4</w:t>
            </w:r>
          </w:p>
        </w:tc>
        <w:tc>
          <w:tcPr>
            <w:tcW w:w="661" w:type="pct"/>
            <w:shd w:val="clear" w:color="auto" w:fill="auto"/>
          </w:tcPr>
          <w:p>
            <w:pPr>
              <w:pStyle w:val="14"/>
              <w:ind w:left="0" w:leftChars="0" w:firstLine="0" w:firstLineChars="0"/>
              <w:jc w:val="center"/>
              <w:rPr>
                <w:sz w:val="22"/>
                <w:szCs w:val="22"/>
              </w:rPr>
            </w:pPr>
            <w:r>
              <w:rPr>
                <w:sz w:val="22"/>
                <w:szCs w:val="22"/>
              </w:rPr>
              <w:t>5</w:t>
            </w:r>
          </w:p>
        </w:tc>
        <w:tc>
          <w:tcPr>
            <w:tcW w:w="722" w:type="pct"/>
            <w:shd w:val="clear" w:color="auto" w:fill="auto"/>
          </w:tcPr>
          <w:p>
            <w:pPr>
              <w:pStyle w:val="14"/>
              <w:ind w:left="0" w:leftChars="0" w:firstLine="0" w:firstLineChars="0"/>
              <w:jc w:val="center"/>
              <w:rPr>
                <w:rFonts w:hint="default"/>
                <w:sz w:val="22"/>
                <w:szCs w:val="22"/>
                <w:lang w:val="ru-RU"/>
              </w:rPr>
            </w:pPr>
            <w:r>
              <w:rPr>
                <w:rFonts w:hint="default"/>
                <w:sz w:val="22"/>
                <w:szCs w:val="22"/>
                <w:lang w:val="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82" w:type="pct"/>
            <w:shd w:val="clear" w:color="auto" w:fill="auto"/>
            <w:vAlign w:val="top"/>
          </w:tcPr>
          <w:p>
            <w:pPr>
              <w:pStyle w:val="11"/>
              <w:spacing w:line="276" w:lineRule="auto"/>
              <w:jc w:val="both"/>
              <w:rPr>
                <w:rFonts w:hint="default" w:ascii="Gotham Pro" w:hAnsi="Gotham Pro" w:cs="Gotham Pro"/>
                <w:sz w:val="20"/>
                <w:szCs w:val="20"/>
              </w:rPr>
            </w:pPr>
            <w:r>
              <w:rPr>
                <w:rFonts w:hint="default" w:ascii="Gotham Pro" w:hAnsi="Gotham Pro" w:cs="Gotham Pro"/>
                <w:sz w:val="20"/>
                <w:szCs w:val="20"/>
              </w:rPr>
              <w:t>Еравнинское сельское, всего</w:t>
            </w:r>
          </w:p>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 т.ч.</w:t>
            </w:r>
          </w:p>
        </w:tc>
        <w:tc>
          <w:tcPr>
            <w:tcW w:w="920" w:type="pct"/>
            <w:vMerge w:val="restar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Южно-Сибирская горная,</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Забайкальский горно-мерзлотный</w:t>
            </w:r>
          </w:p>
        </w:tc>
        <w:tc>
          <w:tcPr>
            <w:tcW w:w="654"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определена</w:t>
            </w:r>
          </w:p>
        </w:tc>
        <w:tc>
          <w:tcPr>
            <w:tcW w:w="957" w:type="pct"/>
            <w:vMerge w:val="restar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Сосна обыкновенная – 21</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Ель - 11,</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Лиственница - 8</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Сосна кедровая сибирская - 9</w:t>
            </w:r>
          </w:p>
        </w:tc>
        <w:tc>
          <w:tcPr>
            <w:tcW w:w="66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72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219455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6 СПК «Улан-Туя»</w:t>
            </w:r>
          </w:p>
        </w:tc>
        <w:tc>
          <w:tcPr>
            <w:tcW w:w="920" w:type="pct"/>
            <w:vMerge w:val="continue"/>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654"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95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66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1-22</w:t>
            </w:r>
          </w:p>
        </w:tc>
        <w:tc>
          <w:tcPr>
            <w:tcW w:w="72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4805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8 СПК «Сосновский»</w:t>
            </w:r>
          </w:p>
        </w:tc>
        <w:tc>
          <w:tcPr>
            <w:tcW w:w="920" w:type="pct"/>
            <w:vMerge w:val="continue"/>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654"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95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66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1-12</w:t>
            </w:r>
          </w:p>
        </w:tc>
        <w:tc>
          <w:tcPr>
            <w:tcW w:w="72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1297</w:t>
            </w:r>
          </w:p>
        </w:tc>
      </w:tr>
    </w:tbl>
    <w:p>
      <w:pPr>
        <w:pStyle w:val="11"/>
        <w:spacing w:line="276" w:lineRule="auto"/>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Распределение лесов по целевому назначению с указанием номеров кварталов приведено в таблице 1.2.5.-3.</w:t>
      </w:r>
    </w:p>
    <w:p>
      <w:pPr>
        <w:pStyle w:val="11"/>
        <w:spacing w:line="276" w:lineRule="auto"/>
        <w:ind w:firstLine="567"/>
        <w:jc w:val="both"/>
        <w:rPr>
          <w:rFonts w:ascii="Times New Roman" w:hAnsi="Times New Roman" w:cs="Times New Roman"/>
          <w:sz w:val="28"/>
          <w:szCs w:val="28"/>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Распределение лесов технических участков</w:t>
      </w:r>
      <w:r>
        <w:rPr>
          <w:rFonts w:hint="default" w:ascii="Gotham Pro" w:hAnsi="Gotham Pro" w:cs="Gotham Pro"/>
          <w:sz w:val="20"/>
          <w:szCs w:val="20"/>
          <w:lang w:val="ru-RU"/>
        </w:rPr>
        <w:t xml:space="preserve"> </w:t>
      </w:r>
      <w:r>
        <w:rPr>
          <w:rFonts w:hint="default" w:ascii="Gotham Pro" w:hAnsi="Gotham Pro" w:cs="Gotham Pro"/>
          <w:sz w:val="20"/>
          <w:szCs w:val="20"/>
        </w:rPr>
        <w:t xml:space="preserve">№ 6 СПК «Улан-Туя» </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и технического участка № 8 СПК «Сосновский»</w:t>
      </w:r>
      <w:r>
        <w:rPr>
          <w:rFonts w:hint="default" w:ascii="Gotham Pro" w:hAnsi="Gotham Pro" w:cs="Gotham Pro"/>
          <w:sz w:val="20"/>
          <w:szCs w:val="20"/>
          <w:lang w:val="ru-RU"/>
        </w:rPr>
        <w:t xml:space="preserve"> </w:t>
      </w:r>
      <w:r>
        <w:rPr>
          <w:rFonts w:hint="default" w:ascii="Gotham Pro" w:hAnsi="Gotham Pro" w:cs="Gotham Pro"/>
          <w:sz w:val="20"/>
          <w:szCs w:val="20"/>
        </w:rPr>
        <w:t>Еравнинского участкового</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xml:space="preserve"> лесничества Еравнинского лесничества</w:t>
      </w:r>
      <w:r>
        <w:rPr>
          <w:rFonts w:hint="default" w:ascii="Gotham Pro" w:hAnsi="Gotham Pro" w:cs="Gotham Pro"/>
          <w:sz w:val="20"/>
          <w:szCs w:val="20"/>
          <w:lang w:val="ru-RU"/>
        </w:rPr>
        <w:t xml:space="preserve"> </w:t>
      </w:r>
      <w:r>
        <w:rPr>
          <w:rFonts w:hint="default" w:ascii="Gotham Pro" w:hAnsi="Gotham Pro" w:cs="Gotham Pro"/>
          <w:sz w:val="20"/>
          <w:szCs w:val="20"/>
        </w:rPr>
        <w:t>по целевому назначению</w:t>
      </w:r>
    </w:p>
    <w:p>
      <w:pPr>
        <w:pStyle w:val="11"/>
        <w:spacing w:line="276" w:lineRule="auto"/>
        <w:jc w:val="right"/>
        <w:rPr>
          <w:rFonts w:hint="default" w:ascii="Gotham Pro" w:hAnsi="Gotham Pro" w:cs="Gotham Pro"/>
          <w:sz w:val="20"/>
          <w:szCs w:val="20"/>
        </w:rPr>
      </w:pPr>
      <w:r>
        <w:rPr>
          <w:rFonts w:hint="default" w:ascii="Gotham Pro" w:hAnsi="Gotham Pro" w:cs="Gotham Pro"/>
          <w:sz w:val="20"/>
          <w:szCs w:val="20"/>
        </w:rPr>
        <w:t>таблица 1.2.5.-3</w:t>
      </w:r>
    </w:p>
    <w:tbl>
      <w:tblPr>
        <w:tblStyle w:val="3"/>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170"/>
        <w:gridCol w:w="1848"/>
        <w:gridCol w:w="1560"/>
        <w:gridCol w:w="1296"/>
        <w:gridCol w:w="18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635"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Целевое</w:t>
            </w:r>
          </w:p>
          <w:p>
            <w:pPr>
              <w:pStyle w:val="11"/>
              <w:jc w:val="center"/>
              <w:rPr>
                <w:rFonts w:hint="default" w:ascii="Gotham Pro" w:hAnsi="Gotham Pro" w:cs="Gotham Pro"/>
                <w:sz w:val="20"/>
                <w:szCs w:val="20"/>
              </w:rPr>
            </w:pPr>
            <w:r>
              <w:rPr>
                <w:rFonts w:hint="default" w:ascii="Gotham Pro" w:hAnsi="Gotham Pro" w:cs="Gotham Pro"/>
                <w:sz w:val="20"/>
                <w:szCs w:val="20"/>
              </w:rPr>
              <w:t>назначение</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лесов</w:t>
            </w:r>
          </w:p>
        </w:tc>
        <w:tc>
          <w:tcPr>
            <w:tcW w:w="953"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Участковое</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лесничество</w:t>
            </w:r>
          </w:p>
        </w:tc>
        <w:tc>
          <w:tcPr>
            <w:tcW w:w="80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Номера кварталов</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или их частей</w:t>
            </w: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Площадь, га</w:t>
            </w:r>
          </w:p>
        </w:tc>
        <w:tc>
          <w:tcPr>
            <w:tcW w:w="93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Основания деления лесов по целевому назначению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635" w:type="pct"/>
            <w:shd w:val="clear" w:color="auto" w:fill="auto"/>
          </w:tcPr>
          <w:p>
            <w:pPr>
              <w:pStyle w:val="14"/>
              <w:ind w:left="0" w:leftChars="0" w:firstLine="0" w:firstLineChars="0"/>
              <w:jc w:val="center"/>
              <w:rPr>
                <w:sz w:val="22"/>
                <w:szCs w:val="22"/>
              </w:rPr>
            </w:pPr>
            <w:r>
              <w:rPr>
                <w:sz w:val="22"/>
                <w:szCs w:val="22"/>
              </w:rPr>
              <w:t>1</w:t>
            </w:r>
          </w:p>
        </w:tc>
        <w:tc>
          <w:tcPr>
            <w:tcW w:w="953" w:type="pct"/>
            <w:shd w:val="clear" w:color="auto" w:fill="auto"/>
          </w:tcPr>
          <w:p>
            <w:pPr>
              <w:pStyle w:val="14"/>
              <w:ind w:left="0" w:leftChars="0" w:firstLine="0" w:firstLineChars="0"/>
              <w:jc w:val="center"/>
              <w:rPr>
                <w:sz w:val="22"/>
                <w:szCs w:val="22"/>
              </w:rPr>
            </w:pPr>
            <w:r>
              <w:rPr>
                <w:sz w:val="22"/>
                <w:szCs w:val="22"/>
              </w:rPr>
              <w:t>2</w:t>
            </w:r>
          </w:p>
        </w:tc>
        <w:tc>
          <w:tcPr>
            <w:tcW w:w="804" w:type="pct"/>
            <w:shd w:val="clear" w:color="auto" w:fill="auto"/>
          </w:tcPr>
          <w:p>
            <w:pPr>
              <w:pStyle w:val="14"/>
              <w:ind w:left="0" w:leftChars="0" w:firstLine="0" w:firstLineChars="0"/>
              <w:jc w:val="center"/>
              <w:rPr>
                <w:sz w:val="22"/>
                <w:szCs w:val="22"/>
              </w:rPr>
            </w:pPr>
            <w:r>
              <w:rPr>
                <w:sz w:val="22"/>
                <w:szCs w:val="22"/>
              </w:rPr>
              <w:t>3</w:t>
            </w:r>
          </w:p>
        </w:tc>
        <w:tc>
          <w:tcPr>
            <w:tcW w:w="668" w:type="pct"/>
            <w:shd w:val="clear" w:color="auto" w:fill="auto"/>
          </w:tcPr>
          <w:p>
            <w:pPr>
              <w:pStyle w:val="14"/>
              <w:ind w:left="0" w:leftChars="0" w:firstLine="0" w:firstLineChars="0"/>
              <w:jc w:val="center"/>
              <w:rPr>
                <w:sz w:val="22"/>
                <w:szCs w:val="22"/>
              </w:rPr>
            </w:pPr>
            <w:r>
              <w:rPr>
                <w:sz w:val="22"/>
                <w:szCs w:val="22"/>
              </w:rPr>
              <w:t>4</w:t>
            </w:r>
          </w:p>
        </w:tc>
        <w:tc>
          <w:tcPr>
            <w:tcW w:w="937" w:type="pct"/>
            <w:shd w:val="clear" w:color="auto" w:fill="auto"/>
          </w:tcPr>
          <w:p>
            <w:pPr>
              <w:pStyle w:val="14"/>
              <w:ind w:left="0" w:leftChars="0" w:firstLine="0" w:firstLineChars="0"/>
              <w:jc w:val="center"/>
              <w:rPr>
                <w:sz w:val="22"/>
                <w:szCs w:val="22"/>
              </w:rPr>
            </w:pPr>
            <w:r>
              <w:rPr>
                <w:sz w:val="22"/>
                <w:szCs w:val="22"/>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shd w:val="clear" w:color="auto" w:fill="auto"/>
            <w:vAlign w:val="top"/>
          </w:tcPr>
          <w:p>
            <w:pPr>
              <w:pStyle w:val="11"/>
              <w:jc w:val="both"/>
              <w:rPr>
                <w:rFonts w:hint="default" w:ascii="Gotham Pro" w:hAnsi="Gotham Pro" w:cs="Gotham Pro"/>
                <w:b/>
                <w:bCs/>
                <w:sz w:val="20"/>
                <w:szCs w:val="20"/>
              </w:rPr>
            </w:pPr>
            <w:r>
              <w:rPr>
                <w:rFonts w:hint="default" w:ascii="Gotham Pro" w:hAnsi="Gotham Pro" w:cs="Gotham Pro"/>
                <w:b/>
                <w:bCs/>
                <w:sz w:val="20"/>
                <w:szCs w:val="20"/>
              </w:rPr>
              <w:t>Защитные леса:</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Ро</w:t>
            </w:r>
          </w:p>
        </w:tc>
        <w:tc>
          <w:tcPr>
            <w:tcW w:w="953" w:type="pc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технический участок № 8 СПК</w:t>
            </w:r>
          </w:p>
          <w:p>
            <w:pPr>
              <w:pStyle w:val="11"/>
              <w:jc w:val="center"/>
              <w:rPr>
                <w:rFonts w:hint="default" w:ascii="Gotham Pro" w:hAnsi="Gotham Pro" w:cs="Gotham Pro"/>
                <w:sz w:val="20"/>
                <w:szCs w:val="20"/>
              </w:rPr>
            </w:pPr>
            <w:r>
              <w:rPr>
                <w:rFonts w:hint="default" w:ascii="Gotham Pro" w:hAnsi="Gotham Pro" w:cs="Gotham Pro"/>
                <w:sz w:val="20"/>
                <w:szCs w:val="20"/>
              </w:rPr>
              <w:t>«Сосновский»</w:t>
            </w:r>
          </w:p>
          <w:p>
            <w:pPr>
              <w:pStyle w:val="11"/>
              <w:jc w:val="center"/>
              <w:rPr>
                <w:rFonts w:hint="default" w:ascii="Gotham Pro" w:hAnsi="Gotham Pro" w:cs="Gotham Pro" w:eastAsiaTheme="minorEastAsia"/>
                <w:sz w:val="20"/>
                <w:szCs w:val="20"/>
                <w:lang w:val="ru-RU" w:eastAsia="ru-RU" w:bidi="ar-SA"/>
              </w:rPr>
            </w:pPr>
          </w:p>
        </w:tc>
        <w:tc>
          <w:tcPr>
            <w:tcW w:w="804" w:type="pc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части кварталов 13-22, 40, 41, 45, 59-61, 76, 77, 87</w:t>
            </w:r>
          </w:p>
          <w:p>
            <w:pPr>
              <w:pStyle w:val="11"/>
              <w:jc w:val="center"/>
              <w:rPr>
                <w:rFonts w:hint="default" w:ascii="Gotham Pro" w:hAnsi="Gotham Pro" w:cs="Gotham Pro" w:eastAsiaTheme="minorEastAsia"/>
                <w:sz w:val="20"/>
                <w:szCs w:val="20"/>
                <w:lang w:val="ru-RU" w:eastAsia="ru-RU" w:bidi="ar-SA"/>
              </w:rPr>
            </w:pPr>
          </w:p>
        </w:tc>
        <w:tc>
          <w:tcPr>
            <w:tcW w:w="66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545</w:t>
            </w:r>
          </w:p>
        </w:tc>
        <w:tc>
          <w:tcPr>
            <w:tcW w:w="937" w:type="pc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постановление СНК СССР от 17.07.1944 № 14587р,</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постановление СМ Бур. АССР от 26.09.1951 № 658.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vMerge w:val="restart"/>
            <w:shd w:val="clear" w:color="auto" w:fill="auto"/>
            <w:vAlign w:val="top"/>
          </w:tcPr>
          <w:p>
            <w:pPr>
              <w:pStyle w:val="11"/>
              <w:jc w:val="both"/>
              <w:rPr>
                <w:rFonts w:hint="default" w:ascii="Gotham Pro" w:hAnsi="Gotham Pro" w:cs="Gotham Pro"/>
                <w:b/>
                <w:bCs/>
                <w:sz w:val="20"/>
                <w:szCs w:val="20"/>
              </w:rPr>
            </w:pPr>
            <w:r>
              <w:rPr>
                <w:rFonts w:hint="default" w:ascii="Gotham Pro" w:hAnsi="Gotham Pro" w:cs="Gotham Pro"/>
                <w:b/>
                <w:bCs/>
                <w:sz w:val="20"/>
                <w:szCs w:val="20"/>
              </w:rPr>
              <w:t>Ценные леса:</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леса, расположенные в пустынных, полупустынных, лесостепных, лесотундровых зонах, степях, горах</w:t>
            </w:r>
          </w:p>
        </w:tc>
        <w:tc>
          <w:tcPr>
            <w:tcW w:w="95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8 СПК «Сосновский»</w:t>
            </w:r>
          </w:p>
        </w:tc>
        <w:tc>
          <w:tcPr>
            <w:tcW w:w="80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кварталы 1-4</w:t>
            </w:r>
          </w:p>
          <w:p>
            <w:pPr>
              <w:pStyle w:val="11"/>
              <w:jc w:val="center"/>
              <w:rPr>
                <w:rFonts w:hint="default" w:ascii="Gotham Pro" w:hAnsi="Gotham Pro" w:cs="Gotham Pro" w:eastAsiaTheme="minorEastAsia"/>
                <w:sz w:val="20"/>
                <w:szCs w:val="20"/>
                <w:lang w:val="ru-RU" w:eastAsia="ru-RU" w:bidi="ar-SA"/>
              </w:rPr>
            </w:pP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802</w:t>
            </w:r>
          </w:p>
        </w:tc>
        <w:tc>
          <w:tcPr>
            <w:tcW w:w="937" w:type="pct"/>
            <w:vMerge w:val="restar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приказ</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Рослесхоза от 17.11.2010 № 436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vMerge w:val="continue"/>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95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6 СПК «Улан-Туя»</w:t>
            </w:r>
          </w:p>
        </w:tc>
        <w:tc>
          <w:tcPr>
            <w:tcW w:w="80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кварталы 5-8</w:t>
            </w:r>
          </w:p>
          <w:p>
            <w:pPr>
              <w:pStyle w:val="11"/>
              <w:jc w:val="center"/>
              <w:rPr>
                <w:rFonts w:hint="default" w:ascii="Gotham Pro" w:hAnsi="Gotham Pro" w:cs="Gotham Pro" w:eastAsiaTheme="minorEastAsia"/>
                <w:sz w:val="20"/>
                <w:szCs w:val="20"/>
                <w:lang w:val="ru-RU" w:eastAsia="ru-RU" w:bidi="ar-SA"/>
              </w:rPr>
            </w:pP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560</w:t>
            </w:r>
          </w:p>
        </w:tc>
        <w:tc>
          <w:tcPr>
            <w:tcW w:w="93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запретные полосы лесов, расположенные вдоль водных объектов</w:t>
            </w:r>
          </w:p>
        </w:tc>
        <w:tc>
          <w:tcPr>
            <w:tcW w:w="95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технический участок № 8 СПК «Сосновский»</w:t>
            </w:r>
          </w:p>
        </w:tc>
        <w:tc>
          <w:tcPr>
            <w:tcW w:w="80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части кварталов 92, 95, 99, 100, 103, 105, 107-110</w:t>
            </w: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616</w:t>
            </w:r>
          </w:p>
        </w:tc>
        <w:tc>
          <w:tcPr>
            <w:tcW w:w="93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vMerge w:val="restart"/>
            <w:shd w:val="clear" w:color="auto" w:fill="auto"/>
            <w:vAlign w:val="center"/>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нерестоохранные полосы лесов</w:t>
            </w:r>
          </w:p>
        </w:tc>
        <w:tc>
          <w:tcPr>
            <w:tcW w:w="953"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технический участок № 8</w:t>
            </w:r>
          </w:p>
          <w:p>
            <w:pPr>
              <w:pStyle w:val="11"/>
              <w:jc w:val="center"/>
              <w:rPr>
                <w:rFonts w:hint="default" w:ascii="Gotham Pro" w:hAnsi="Gotham Pro" w:cs="Gotham Pro"/>
                <w:sz w:val="20"/>
                <w:szCs w:val="20"/>
              </w:rPr>
            </w:pPr>
            <w:r>
              <w:rPr>
                <w:rFonts w:hint="default" w:ascii="Gotham Pro" w:hAnsi="Gotham Pro" w:cs="Gotham Pro"/>
                <w:sz w:val="20"/>
                <w:szCs w:val="20"/>
              </w:rPr>
              <w:t>СПК «Сосновский»</w:t>
            </w:r>
          </w:p>
          <w:p>
            <w:pPr>
              <w:pStyle w:val="11"/>
              <w:jc w:val="center"/>
              <w:rPr>
                <w:rFonts w:hint="default" w:ascii="Gotham Pro" w:hAnsi="Gotham Pro" w:cs="Gotham Pro" w:eastAsiaTheme="minorEastAsia"/>
                <w:sz w:val="20"/>
                <w:szCs w:val="20"/>
                <w:lang w:val="ru-RU" w:eastAsia="ru-RU" w:bidi="ar-SA"/>
              </w:rPr>
            </w:pPr>
          </w:p>
        </w:tc>
        <w:tc>
          <w:tcPr>
            <w:tcW w:w="80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кварталы 69-71, 84-86, 88-90, 93, 94, части кварталов 92, 95, 99, 100, 103, 105, 107-109</w:t>
            </w:r>
          </w:p>
          <w:p>
            <w:pPr>
              <w:pStyle w:val="11"/>
              <w:jc w:val="center"/>
              <w:rPr>
                <w:rFonts w:hint="default" w:ascii="Gotham Pro" w:hAnsi="Gotham Pro" w:cs="Gotham Pro" w:eastAsiaTheme="minorEastAsia"/>
                <w:sz w:val="20"/>
                <w:szCs w:val="20"/>
                <w:lang w:val="ru-RU" w:eastAsia="ru-RU" w:bidi="ar-SA"/>
              </w:rPr>
            </w:pP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3303</w:t>
            </w:r>
          </w:p>
        </w:tc>
        <w:tc>
          <w:tcPr>
            <w:tcW w:w="93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vMerge w:val="continue"/>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953"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технический участок № 6 СПК «Улан-Туя»</w:t>
            </w:r>
          </w:p>
          <w:p>
            <w:pPr>
              <w:pStyle w:val="11"/>
              <w:jc w:val="center"/>
              <w:rPr>
                <w:rFonts w:hint="default" w:ascii="Gotham Pro" w:hAnsi="Gotham Pro" w:cs="Gotham Pro" w:eastAsiaTheme="minorEastAsia"/>
                <w:sz w:val="20"/>
                <w:szCs w:val="20"/>
                <w:lang w:val="ru-RU" w:eastAsia="ru-RU" w:bidi="ar-SA"/>
              </w:rPr>
            </w:pPr>
          </w:p>
        </w:tc>
        <w:tc>
          <w:tcPr>
            <w:tcW w:w="80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кварталы 69, 90, 123,</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части кварталов 121, 122, 124-126</w:t>
            </w: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1033</w:t>
            </w:r>
          </w:p>
        </w:tc>
        <w:tc>
          <w:tcPr>
            <w:tcW w:w="93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vMerge w:val="restart"/>
            <w:shd w:val="clear" w:color="auto" w:fill="auto"/>
            <w:vAlign w:val="center"/>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lang w:val="ru-RU"/>
              </w:rPr>
              <w:t>Эксплуатационные</w:t>
            </w:r>
            <w:r>
              <w:rPr>
                <w:rFonts w:hint="default" w:ascii="Gotham Pro" w:hAnsi="Gotham Pro" w:cs="Gotham Pro"/>
                <w:b/>
                <w:bCs/>
                <w:sz w:val="20"/>
                <w:szCs w:val="20"/>
              </w:rPr>
              <w:t xml:space="preserve"> леса</w:t>
            </w:r>
          </w:p>
        </w:tc>
        <w:tc>
          <w:tcPr>
            <w:tcW w:w="953"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технический участок № 8 СПК</w:t>
            </w:r>
          </w:p>
          <w:p>
            <w:pPr>
              <w:pStyle w:val="11"/>
              <w:jc w:val="center"/>
              <w:rPr>
                <w:rFonts w:hint="default" w:ascii="Gotham Pro" w:hAnsi="Gotham Pro" w:cs="Gotham Pro"/>
                <w:sz w:val="20"/>
                <w:szCs w:val="20"/>
              </w:rPr>
            </w:pPr>
            <w:r>
              <w:rPr>
                <w:rFonts w:hint="default" w:ascii="Gotham Pro" w:hAnsi="Gotham Pro" w:cs="Gotham Pro"/>
                <w:sz w:val="20"/>
                <w:szCs w:val="20"/>
              </w:rPr>
              <w:t>«Сосновский»</w:t>
            </w:r>
          </w:p>
          <w:p>
            <w:pPr>
              <w:pStyle w:val="11"/>
              <w:jc w:val="center"/>
              <w:rPr>
                <w:rFonts w:hint="default" w:ascii="Gotham Pro" w:hAnsi="Gotham Pro" w:cs="Gotham Pro" w:eastAsiaTheme="minorEastAsia"/>
                <w:sz w:val="20"/>
                <w:szCs w:val="20"/>
                <w:lang w:val="ru-RU" w:eastAsia="ru-RU" w:bidi="ar-SA"/>
              </w:rPr>
            </w:pPr>
          </w:p>
        </w:tc>
        <w:tc>
          <w:tcPr>
            <w:tcW w:w="80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кварталы 9-12, 23-29, 37-39, 42-</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44, 46-49, 54-58, 62-68, 72-75, 78-83, 96-98, 101, 102, 104, 106, 111-114, части кварталов 13-22, 40, 41, 45, 59-61, 76, 77, 87, 95, 99, 100, 103, 105, 107, 109, 110</w:t>
            </w: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18761</w:t>
            </w:r>
          </w:p>
        </w:tc>
        <w:tc>
          <w:tcPr>
            <w:tcW w:w="93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635" w:type="pct"/>
            <w:vMerge w:val="continue"/>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p>
        </w:tc>
        <w:tc>
          <w:tcPr>
            <w:tcW w:w="953"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технический участок № 6 СПК «Улан-Туя»</w:t>
            </w:r>
          </w:p>
          <w:p>
            <w:pPr>
              <w:pStyle w:val="11"/>
              <w:jc w:val="center"/>
              <w:rPr>
                <w:rFonts w:hint="default" w:ascii="Gotham Pro" w:hAnsi="Gotham Pro" w:cs="Gotham Pro" w:eastAsiaTheme="minorEastAsia"/>
                <w:sz w:val="20"/>
                <w:szCs w:val="20"/>
                <w:lang w:val="ru-RU" w:eastAsia="ru-RU" w:bidi="ar-SA"/>
              </w:rPr>
            </w:pPr>
          </w:p>
        </w:tc>
        <w:tc>
          <w:tcPr>
            <w:tcW w:w="80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кварталы 30-36, 50-54, 91, 115-120, 127-129, части кварталов 121, 122, 124-126</w:t>
            </w:r>
          </w:p>
        </w:tc>
        <w:tc>
          <w:tcPr>
            <w:tcW w:w="66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6034</w:t>
            </w:r>
          </w:p>
        </w:tc>
        <w:tc>
          <w:tcPr>
            <w:tcW w:w="937"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r>
    </w:tbl>
    <w:p>
      <w:pPr>
        <w:pStyle w:val="11"/>
        <w:spacing w:line="276" w:lineRule="auto"/>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Использование, охрана, защита и воспроизводство лесов</w:t>
      </w:r>
      <w:r>
        <w:rPr>
          <w:rFonts w:hint="default" w:ascii="Gotham Pro" w:hAnsi="Gotham Pro" w:cs="Gotham Pro"/>
          <w:sz w:val="24"/>
          <w:szCs w:val="24"/>
          <w:lang w:val="ru-RU"/>
        </w:rPr>
        <w:t xml:space="preserve"> </w:t>
      </w:r>
      <w:r>
        <w:rPr>
          <w:rFonts w:hint="default" w:ascii="Gotham Pro" w:hAnsi="Gotham Pro" w:cs="Gotham Pro"/>
          <w:sz w:val="24"/>
          <w:szCs w:val="24"/>
        </w:rPr>
        <w:t>осуществляется в соответствии с Лесохозяйственным регламентом Еравнинского лесничества.</w:t>
      </w:r>
    </w:p>
    <w:p>
      <w:pPr>
        <w:pStyle w:val="11"/>
        <w:jc w:val="both"/>
        <w:rPr>
          <w:rFonts w:hint="default" w:ascii="Gotham Pro" w:hAnsi="Gotham Pro" w:cs="Gotham Pro"/>
          <w:sz w:val="28"/>
          <w:szCs w:val="28"/>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Полезные ископаемые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В соответствии со статьей 31 Закона РФ от 21.02.1992 № 2395-1 «О недрах» (далее – </w:t>
      </w:r>
      <w:bookmarkStart w:id="5" w:name="_Hlk133648456"/>
      <w:r>
        <w:rPr>
          <w:rFonts w:hint="default" w:ascii="Gotham Pro" w:hAnsi="Gotham Pro" w:cs="Gotham Pro"/>
          <w:sz w:val="24"/>
          <w:szCs w:val="24"/>
        </w:rPr>
        <w:t>Закон о недрах</w:t>
      </w:r>
      <w:bookmarkEnd w:id="5"/>
      <w:r>
        <w:rPr>
          <w:rFonts w:hint="default" w:ascii="Gotham Pro" w:hAnsi="Gotham Pro" w:cs="Gotham Pro"/>
          <w:sz w:val="24"/>
          <w:szCs w:val="24"/>
        </w:rPr>
        <w:t>) с целью учета состояния минерально-сырьевой базы ведется ГБЗ  ПИ, который содержит сведения о количестве, качестве и степени изученности запасов каждого вида полезных ископаемых по месторождениям, имеющим промышленное значение, об их размещении, о степени промышленного освоения, добыче, потерях и об обеспеченности промышленности разведанными запасами полезных ископаемых на основе классификаций запасов и прогнозных ресурсов полезных ископаемых по видам полезных ископаемых, которые утверждаются федеральным органом управления государственным фондом недр.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данным отдела геологии и лицензирования Департамента по недропользованию по Дальневосточному федеральному округу по Республике Бурятия (Бурятнедра) от 28.07.2023 № 14-38-1516 по состоянию на 01.01.2022 в границах МО СП «Сосново-Озерское» присутствуют (рис. 1.2.6.-1):</w:t>
      </w:r>
    </w:p>
    <w:p>
      <w:pPr>
        <w:pStyle w:val="11"/>
        <w:keepNext w:val="0"/>
        <w:keepLines w:val="0"/>
        <w:pageBreakBefore w:val="0"/>
        <w:widowControl/>
        <w:numPr>
          <w:ilvl w:val="0"/>
          <w:numId w:val="3"/>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запасы полезных ископаемых, учитываемые ГБЗ ПИ РФ (кроме ОПИ) месторождений «Саган Судал руч.», «Бишиха руч. (Саган Судал)», «Еравнинское (Сосново-Озерское)», месторождение подземных вод «Сосновоозерское» в границах участков №№ 2 и 3;</w:t>
      </w:r>
    </w:p>
    <w:p>
      <w:pPr>
        <w:pStyle w:val="11"/>
        <w:keepNext w:val="0"/>
        <w:keepLines w:val="0"/>
        <w:pageBreakBefore w:val="0"/>
        <w:widowControl/>
        <w:numPr>
          <w:ilvl w:val="0"/>
          <w:numId w:val="3"/>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объекты учета Государственным кадастром МПИ, неучтенные ГБЗ ПИ РФ: «Укырское», «Холостуйское», «руч. Пионерный (Саган-Судал), 0-1,5 км»;</w:t>
      </w: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Лицензионные площади месторождений в границах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рис. 1.2.6.-.1</w:t>
      </w:r>
    </w:p>
    <w:p>
      <w:pPr>
        <w:pStyle w:val="11"/>
        <w:spacing w:line="276" w:lineRule="auto"/>
        <w:jc w:val="center"/>
        <w:rPr>
          <w:rFonts w:ascii="Times New Roman" w:hAnsi="Times New Roman" w:cs="Times New Roman"/>
          <w:sz w:val="24"/>
          <w:szCs w:val="24"/>
        </w:rPr>
      </w:pPr>
      <w:r>
        <w:rPr>
          <w:rFonts w:ascii="Times New Roman" w:hAnsi="Times New Roman" w:cs="Times New Roman"/>
          <w:sz w:val="24"/>
          <w:szCs w:val="24"/>
        </w:rPr>
        <w:drawing>
          <wp:inline distT="0" distB="0" distL="0" distR="0">
            <wp:extent cx="5143500" cy="7243445"/>
            <wp:effectExtent l="0" t="0" r="7620" b="10795"/>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6"/>
                    <pic:cNvPicPr>
                      <a:picLocks noChangeAspect="1" noChangeArrowheads="1"/>
                    </pic:cNvPicPr>
                  </pic:nvPicPr>
                  <pic:blipFill>
                    <a:blip r:embed="rId12"/>
                    <a:srcRect/>
                    <a:stretch>
                      <a:fillRect/>
                    </a:stretch>
                  </pic:blipFill>
                  <pic:spPr>
                    <a:xfrm>
                      <a:off x="0" y="0"/>
                      <a:ext cx="5143500" cy="7243445"/>
                    </a:xfrm>
                    <a:prstGeom prst="rect">
                      <a:avLst/>
                    </a:prstGeom>
                    <a:noFill/>
                    <a:ln w="9525">
                      <a:noFill/>
                      <a:miter lim="800000"/>
                      <a:headEnd/>
                      <a:tailEnd/>
                    </a:ln>
                  </pic:spPr>
                </pic:pic>
              </a:graphicData>
            </a:graphic>
          </wp:inline>
        </w:drawing>
      </w:r>
    </w:p>
    <w:p>
      <w:pPr>
        <w:pStyle w:val="11"/>
        <w:keepNext w:val="0"/>
        <w:keepLines w:val="0"/>
        <w:pageBreakBefore w:val="0"/>
        <w:widowControl/>
        <w:numPr>
          <w:ilvl w:val="0"/>
          <w:numId w:val="3"/>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лицензионные площади: </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УДЭ 00877 ВЭ, владелец лицензии: МОП Еравнинское ЖКХ, участок «Укыр», полезные ископаемые – воды пресные, срок действия лицензии: 26.11.2003-01.12.2023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01865 БП,  владелец лицензии: ООО «Золотой стандарт», участок «Урудол», полезные ископаемые – золото россыпное, срок действия лицензии: 02.08.2017-03.08.2024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02077 БП, владелец лицензии: ООО «Гранит», участок «Телерга», полезные ископаемые - золото россыпное, срок действия лицензии: 13.05.2019-13.05.2024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02111 БП, владелец лицензии: ООО «Туяа», участок «Инлукта», полезные ископаемые - золото россыпное, срок действия лицензии: 19.07.2019-19.07.2024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02112 БП, владелец лицензии: ООО «Туяа», участок «Уда-Мохей», полезные ископаемые - золото россыпное, срок действия лицензии: 19.07.2019-19.07.2024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02215 БП, владелец лицензии: ООО «ИнвестПромПарк», участок «Мальта-Мохей», полезные ископаемые - золото россыпное, срок действия лицензии: 24.12.2019-24.12.2024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02395 БР, владелец лицензии:</w:t>
      </w:r>
      <w:r>
        <w:rPr>
          <w:rFonts w:hint="default" w:ascii="Gotham Pro" w:hAnsi="Gotham Pro" w:cs="Gotham Pro"/>
          <w:sz w:val="24"/>
          <w:szCs w:val="24"/>
          <w:lang w:val="ru-RU"/>
        </w:rPr>
        <w:t xml:space="preserve"> </w:t>
      </w:r>
      <w:r>
        <w:rPr>
          <w:rFonts w:hint="default" w:ascii="Gotham Pro" w:hAnsi="Gotham Pro" w:cs="Gotham Pro"/>
          <w:sz w:val="24"/>
          <w:szCs w:val="24"/>
        </w:rPr>
        <w:t>ООО «Озерный ГОК», участок «Харасунский», полезные ископаемые – золото россыпное, срок действия лицензии: 02.11.2020-05.02.2040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02426 БП, владелец лицензии:</w:t>
      </w:r>
      <w:r>
        <w:rPr>
          <w:rFonts w:hint="default" w:ascii="Gotham Pro" w:hAnsi="Gotham Pro" w:cs="Gotham Pro"/>
          <w:sz w:val="24"/>
          <w:szCs w:val="24"/>
          <w:lang w:val="ru-RU"/>
        </w:rPr>
        <w:t xml:space="preserve"> </w:t>
      </w:r>
      <w:r>
        <w:rPr>
          <w:rFonts w:hint="default" w:ascii="Gotham Pro" w:hAnsi="Gotham Pro" w:cs="Gotham Pro"/>
          <w:sz w:val="24"/>
          <w:szCs w:val="24"/>
        </w:rPr>
        <w:t>ООО «Малахит», участок «Южный», полезные ископаемые – золото россыпное, срок действия лицензии: 10.02.2021-10.02.2026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УДЭ 02469 БП, владелец лицензии:</w:t>
      </w:r>
      <w:r>
        <w:rPr>
          <w:rFonts w:hint="default" w:ascii="Gotham Pro" w:hAnsi="Gotham Pro" w:cs="Gotham Pro"/>
          <w:sz w:val="24"/>
          <w:szCs w:val="24"/>
          <w:lang w:val="ru-RU"/>
        </w:rPr>
        <w:t xml:space="preserve"> </w:t>
      </w:r>
      <w:r>
        <w:rPr>
          <w:rFonts w:hint="default" w:ascii="Gotham Pro" w:hAnsi="Gotham Pro" w:cs="Gotham Pro"/>
          <w:sz w:val="24"/>
          <w:szCs w:val="24"/>
        </w:rPr>
        <w:t>АО «Росгео», участок «Укырская площадь», полезные ископаемые – золото, срок действия лицензии: 30.06.2021-25.12.2023 г.г.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Также Бурятнедра сообщили, что по информации Минприроды РБ в границах МО СП «Сосново-Озерское»:</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присутствует лицензионная площадь ЕРВ 0127НЭ для добычи песчано-гравийных пород (ООО «Дорстройсервис», срок действия лицензии: 01.07.2008-31.12.2023 г.г.);</w:t>
      </w:r>
    </w:p>
    <w:p>
      <w:pPr>
        <w:pStyle w:val="11"/>
        <w:keepNext w:val="0"/>
        <w:keepLines w:val="0"/>
        <w:pageBreakBefore w:val="0"/>
        <w:widowControl/>
        <w:numPr>
          <w:ilvl w:val="0"/>
          <w:numId w:val="4"/>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ТПЗ ПИ РБ учитываются месторождения кирпично-черепичного сырья «Укырское-1» и «Укырское-2».</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Выводы по разделу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Природные условия и ресурсы поселения являются благоприятными для проживания и ведения хозяйственной деятельности. Климат, территориальные и почвенные ресурсы создают хорошие условия для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ведения сельскохозяйственной деятельности, включая растениеводство и животноводство, а также для развития туризма.</w:t>
      </w:r>
    </w:p>
    <w:p>
      <w:pPr>
        <w:pStyle w:val="11"/>
        <w:jc w:val="both"/>
        <w:rPr>
          <w:rFonts w:hint="default" w:ascii="Gotham Pro" w:hAnsi="Gotham Pro" w:cs="Gotham Pro"/>
          <w:sz w:val="28"/>
          <w:szCs w:val="28"/>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Жилой фонд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Жилой фонд поселения представлен индивидуальными жилыми домами, которые располагаются на земельных участках для индивидуального жилищного строительства и приусадебных земельных участках для ведения личного подсобного хозяйства, и малоэтажными многоквартирными домами.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Объем жилого фонда составляет 2057 ед. общим объемом 154520 м</w:t>
      </w:r>
      <w:r>
        <w:rPr>
          <w:rFonts w:hint="default" w:ascii="Gotham Pro" w:hAnsi="Gotham Pro" w:cs="Gotham Pro"/>
          <w:sz w:val="24"/>
          <w:szCs w:val="24"/>
          <w:vertAlign w:val="superscript"/>
        </w:rPr>
        <w:t xml:space="preserve">2 </w:t>
      </w:r>
      <w:r>
        <w:rPr>
          <w:rFonts w:hint="default" w:ascii="Gotham Pro" w:hAnsi="Gotham Pro" w:cs="Gotham Pro"/>
          <w:sz w:val="24"/>
          <w:szCs w:val="24"/>
        </w:rPr>
        <w:t>(таблиц</w:t>
      </w:r>
      <w:r>
        <w:rPr>
          <w:rFonts w:hint="default" w:ascii="Gotham Pro" w:hAnsi="Gotham Pro" w:cs="Gotham Pro"/>
          <w:sz w:val="24"/>
          <w:szCs w:val="24"/>
          <w:lang w:val="ru-RU"/>
        </w:rPr>
        <w:t>ы</w:t>
      </w:r>
      <w:r>
        <w:rPr>
          <w:rFonts w:hint="default" w:ascii="Gotham Pro" w:hAnsi="Gotham Pro" w:cs="Gotham Pro"/>
          <w:sz w:val="24"/>
          <w:szCs w:val="24"/>
        </w:rPr>
        <w:t xml:space="preserve"> 1.3.-1</w:t>
      </w:r>
      <w:r>
        <w:rPr>
          <w:rFonts w:hint="default" w:ascii="Gotham Pro" w:hAnsi="Gotham Pro" w:cs="Gotham Pro"/>
          <w:sz w:val="24"/>
          <w:szCs w:val="24"/>
          <w:lang w:val="ru-RU"/>
        </w:rPr>
        <w:t xml:space="preserve"> и 1.3.-2</w:t>
      </w:r>
      <w:r>
        <w:rPr>
          <w:rFonts w:hint="default" w:ascii="Gotham Pro" w:hAnsi="Gotham Pro" w:cs="Gotham Pro"/>
          <w:sz w:val="24"/>
          <w:szCs w:val="24"/>
        </w:rPr>
        <w:t xml:space="preserve">). </w:t>
      </w:r>
    </w:p>
    <w:p>
      <w:pPr>
        <w:pStyle w:val="11"/>
        <w:spacing w:line="276" w:lineRule="auto"/>
        <w:ind w:firstLine="567"/>
        <w:jc w:val="center"/>
        <w:rPr>
          <w:rFonts w:ascii="Times New Roman" w:hAnsi="Times New Roman" w:cs="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Объем жилого фонда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1.3.-1</w:t>
      </w:r>
    </w:p>
    <w:tbl>
      <w:tblPr>
        <w:tblStyle w:val="3"/>
        <w:tblW w:w="9639"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217"/>
        <w:gridCol w:w="1190"/>
        <w:gridCol w:w="22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7" w:type="dxa"/>
          </w:tcPr>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Наименование показателя</w:t>
            </w:r>
          </w:p>
        </w:tc>
        <w:tc>
          <w:tcPr>
            <w:tcW w:w="1190" w:type="dxa"/>
          </w:tcPr>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Ед. изм.</w:t>
            </w:r>
          </w:p>
        </w:tc>
        <w:tc>
          <w:tcPr>
            <w:tcW w:w="2232" w:type="dxa"/>
          </w:tcPr>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Показатель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17" w:type="dxa"/>
          </w:tcPr>
          <w:p>
            <w:pPr>
              <w:spacing w:after="0"/>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Общий объем жилого фонда</w:t>
            </w:r>
          </w:p>
        </w:tc>
        <w:tc>
          <w:tcPr>
            <w:tcW w:w="1190" w:type="dxa"/>
          </w:tcPr>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2232" w:type="dxa"/>
          </w:tcPr>
          <w:p>
            <w:pPr>
              <w:spacing w:after="0"/>
              <w:jc w:val="center"/>
              <w:rPr>
                <w:rFonts w:hint="default" w:ascii="Gotham Pro" w:hAnsi="Gotham Pro" w:eastAsia="Calibri" w:cs="Gotham Pro"/>
                <w:sz w:val="20"/>
                <w:szCs w:val="20"/>
                <w:lang w:eastAsia="en-US"/>
              </w:rPr>
            </w:pPr>
            <w:r>
              <w:rPr>
                <w:rFonts w:hint="default" w:ascii="Gotham Pro" w:hAnsi="Gotham Pro" w:eastAsia="Calibri" w:cs="Gotham Pro"/>
                <w:sz w:val="20"/>
                <w:szCs w:val="20"/>
                <w:lang w:eastAsia="en-US"/>
              </w:rPr>
              <w:t>2057/154520</w:t>
            </w:r>
          </w:p>
        </w:tc>
      </w:tr>
    </w:tbl>
    <w:p>
      <w:pPr>
        <w:pStyle w:val="11"/>
        <w:spacing w:line="276" w:lineRule="auto"/>
        <w:ind w:firstLine="567"/>
        <w:jc w:val="both"/>
        <w:rPr>
          <w:rFonts w:hint="default" w:ascii="Gotham Pro" w:hAnsi="Gotham Pro" w:cs="Gotham Pro"/>
          <w:sz w:val="20"/>
          <w:szCs w:val="20"/>
        </w:rPr>
      </w:pPr>
    </w:p>
    <w:p>
      <w:pPr>
        <w:pStyle w:val="11"/>
        <w:bidi w:val="0"/>
        <w:jc w:val="center"/>
        <w:rPr>
          <w:rFonts w:hint="default" w:ascii="Gotham Pro" w:hAnsi="Gotham Pro" w:cs="Gotham Pro"/>
          <w:sz w:val="20"/>
          <w:szCs w:val="20"/>
          <w:lang w:val="ru-RU"/>
        </w:rPr>
      </w:pPr>
    </w:p>
    <w:p>
      <w:pPr>
        <w:pStyle w:val="11"/>
        <w:bidi w:val="0"/>
        <w:jc w:val="center"/>
        <w:rPr>
          <w:rFonts w:hint="default" w:ascii="Gotham Pro" w:hAnsi="Gotham Pro" w:cs="Gotham Pro"/>
          <w:sz w:val="20"/>
          <w:szCs w:val="20"/>
          <w:lang w:val="ru-RU"/>
        </w:rPr>
      </w:pPr>
      <w:r>
        <w:rPr>
          <w:rFonts w:hint="default" w:ascii="Gotham Pro" w:hAnsi="Gotham Pro" w:cs="Gotham Pro"/>
          <w:sz w:val="20"/>
          <w:szCs w:val="20"/>
          <w:lang w:val="ru-RU"/>
        </w:rPr>
        <w:t>Сведения о количестве и площади жилого фонда в МО СП «Сосново-Озерское»</w:t>
      </w:r>
    </w:p>
    <w:p>
      <w:pPr>
        <w:pStyle w:val="11"/>
        <w:bidi w:val="0"/>
        <w:jc w:val="right"/>
        <w:rPr>
          <w:rFonts w:hint="default" w:ascii="Gotham Pro" w:hAnsi="Gotham Pro" w:cs="Gotham Pro"/>
          <w:sz w:val="20"/>
          <w:szCs w:val="20"/>
          <w:lang w:val="ru-RU"/>
        </w:rPr>
      </w:pPr>
      <w:r>
        <w:rPr>
          <w:rFonts w:hint="default" w:ascii="Gotham Pro" w:hAnsi="Gotham Pro" w:cs="Gotham Pro"/>
          <w:sz w:val="20"/>
          <w:szCs w:val="20"/>
          <w:lang w:val="ru-RU"/>
        </w:rPr>
        <w:t>таблица 1.3.-2</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22"/>
        <w:gridCol w:w="1368"/>
        <w:gridCol w:w="1452"/>
        <w:gridCol w:w="1285"/>
        <w:gridCol w:w="1405"/>
        <w:gridCol w:w="13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Merge w:val="restart"/>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 xml:space="preserve">Наименование показателя </w:t>
            </w:r>
          </w:p>
        </w:tc>
        <w:tc>
          <w:tcPr>
            <w:tcW w:w="1368" w:type="dxa"/>
          </w:tcPr>
          <w:p>
            <w:pPr>
              <w:pStyle w:val="11"/>
              <w:widowControl w:val="0"/>
              <w:bidi w:val="0"/>
              <w:jc w:val="center"/>
              <w:rPr>
                <w:rFonts w:hint="default" w:ascii="Gotham Pro" w:hAnsi="Gotham Pro" w:cs="Gotham Pro"/>
                <w:sz w:val="20"/>
                <w:szCs w:val="20"/>
                <w:lang w:val="ru-RU"/>
              </w:rPr>
            </w:pPr>
          </w:p>
        </w:tc>
        <w:tc>
          <w:tcPr>
            <w:tcW w:w="5480" w:type="dxa"/>
            <w:gridSpan w:val="4"/>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Наименование населённых пунктов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Merge w:val="continue"/>
          </w:tcPr>
          <w:p>
            <w:pPr>
              <w:pStyle w:val="11"/>
              <w:widowControl w:val="0"/>
              <w:bidi w:val="0"/>
              <w:jc w:val="both"/>
              <w:rPr>
                <w:rFonts w:hint="default" w:ascii="Gotham Pro" w:hAnsi="Gotham Pro" w:cs="Gotham Pro"/>
                <w:sz w:val="20"/>
                <w:szCs w:val="20"/>
              </w:rPr>
            </w:pPr>
          </w:p>
        </w:tc>
        <w:tc>
          <w:tcPr>
            <w:tcW w:w="136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Всего по поселению</w:t>
            </w:r>
          </w:p>
        </w:tc>
        <w:tc>
          <w:tcPr>
            <w:tcW w:w="1452" w:type="dxa"/>
            <w:vAlign w:val="top"/>
          </w:tcPr>
          <w:p>
            <w:pPr>
              <w:pStyle w:val="11"/>
              <w:widowControl w:val="0"/>
              <w:bidi w:val="0"/>
              <w:jc w:val="center"/>
              <w:rPr>
                <w:rFonts w:hint="default" w:ascii="Gotham Pro" w:hAnsi="Gotham Pro" w:cs="Gotham Pro"/>
                <w:sz w:val="20"/>
                <w:szCs w:val="20"/>
                <w:lang w:val="ru-RU" w:eastAsia="zh-CN"/>
              </w:rPr>
            </w:pPr>
            <w:r>
              <w:rPr>
                <w:rFonts w:hint="default" w:ascii="Gotham Pro" w:hAnsi="Gotham Pro" w:cs="Gotham Pro"/>
                <w:sz w:val="20"/>
                <w:szCs w:val="20"/>
                <w:lang w:val="ru-RU"/>
              </w:rPr>
              <w:t>с. Сосново-Озерское</w:t>
            </w:r>
          </w:p>
        </w:tc>
        <w:tc>
          <w:tcPr>
            <w:tcW w:w="1285" w:type="dxa"/>
            <w:vAlign w:val="top"/>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пос.</w:t>
            </w:r>
          </w:p>
          <w:p>
            <w:pPr>
              <w:pStyle w:val="11"/>
              <w:widowControl w:val="0"/>
              <w:bidi w:val="0"/>
              <w:jc w:val="center"/>
              <w:rPr>
                <w:rFonts w:hint="default" w:ascii="Gotham Pro" w:hAnsi="Gotham Pro" w:cs="Gotham Pro"/>
                <w:sz w:val="20"/>
                <w:szCs w:val="20"/>
                <w:lang w:val="ru-RU" w:eastAsia="zh-CN"/>
              </w:rPr>
            </w:pPr>
            <w:r>
              <w:rPr>
                <w:rFonts w:hint="default" w:ascii="Gotham Pro" w:hAnsi="Gotham Pro" w:cs="Gotham Pro"/>
                <w:sz w:val="20"/>
                <w:szCs w:val="20"/>
                <w:lang w:val="ru-RU"/>
              </w:rPr>
              <w:t>Гарам</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с.</w:t>
            </w:r>
          </w:p>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Домна</w:t>
            </w:r>
          </w:p>
        </w:tc>
        <w:tc>
          <w:tcPr>
            <w:tcW w:w="133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с.</w:t>
            </w:r>
          </w:p>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Укыр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 xml:space="preserve">Всего,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2057</w:t>
            </w:r>
            <w:r>
              <w:rPr>
                <w:rFonts w:hint="default" w:ascii="Gotham Pro" w:hAnsi="Gotham Pro" w:cs="Gotham Pro"/>
                <w:sz w:val="20"/>
                <w:szCs w:val="20"/>
                <w:lang w:val="en-US"/>
              </w:rPr>
              <w:t>/</w:t>
            </w:r>
            <w:r>
              <w:rPr>
                <w:rFonts w:hint="default" w:ascii="Gotham Pro" w:hAnsi="Gotham Pro" w:cs="Gotham Pro"/>
                <w:sz w:val="20"/>
                <w:szCs w:val="20"/>
                <w:lang w:val="ru-RU"/>
              </w:rPr>
              <w:t>154,2</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1902</w:t>
            </w:r>
            <w:r>
              <w:rPr>
                <w:rFonts w:hint="default" w:ascii="Gotham Pro" w:hAnsi="Gotham Pro" w:cs="Gotham Pro"/>
                <w:sz w:val="20"/>
                <w:szCs w:val="20"/>
                <w:lang w:val="en-US"/>
              </w:rPr>
              <w:t>/142</w:t>
            </w:r>
            <w:r>
              <w:rPr>
                <w:rFonts w:hint="default" w:ascii="Gotham Pro" w:hAnsi="Gotham Pro" w:cs="Gotham Pro"/>
                <w:sz w:val="20"/>
                <w:szCs w:val="20"/>
                <w:lang w:val="ru-RU"/>
              </w:rPr>
              <w:t>,28</w:t>
            </w:r>
          </w:p>
        </w:tc>
        <w:tc>
          <w:tcPr>
            <w:tcW w:w="128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59</w:t>
            </w:r>
            <w:r>
              <w:rPr>
                <w:rFonts w:hint="default" w:ascii="Gotham Pro" w:hAnsi="Gotham Pro" w:cs="Gotham Pro"/>
                <w:sz w:val="20"/>
                <w:szCs w:val="20"/>
                <w:lang w:val="en-US"/>
              </w:rPr>
              <w:t>/</w:t>
            </w:r>
            <w:r>
              <w:rPr>
                <w:rFonts w:hint="default" w:ascii="Gotham Pro" w:hAnsi="Gotham Pro" w:cs="Gotham Pro"/>
                <w:sz w:val="20"/>
                <w:szCs w:val="20"/>
                <w:lang w:val="ru-RU"/>
              </w:rPr>
              <w:t>4</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69</w:t>
            </w:r>
            <w:r>
              <w:rPr>
                <w:rFonts w:hint="default" w:ascii="Gotham Pro" w:hAnsi="Gotham Pro" w:cs="Gotham Pro"/>
                <w:sz w:val="20"/>
                <w:szCs w:val="20"/>
                <w:lang w:val="en-US"/>
              </w:rPr>
              <w:t>/6</w:t>
            </w:r>
            <w:r>
              <w:rPr>
                <w:rFonts w:hint="default" w:ascii="Gotham Pro" w:hAnsi="Gotham Pro" w:cs="Gotham Pro"/>
                <w:sz w:val="20"/>
                <w:szCs w:val="20"/>
                <w:lang w:val="ru-RU"/>
              </w:rPr>
              <w:t>,1</w:t>
            </w:r>
          </w:p>
        </w:tc>
        <w:tc>
          <w:tcPr>
            <w:tcW w:w="1338"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ru-RU"/>
              </w:rPr>
              <w:t>27</w:t>
            </w:r>
            <w:r>
              <w:rPr>
                <w:rFonts w:hint="default" w:ascii="Gotham Pro" w:hAnsi="Gotham Pro" w:cs="Gotham Pro"/>
                <w:sz w:val="20"/>
                <w:szCs w:val="20"/>
                <w:lang w:val="en-US"/>
              </w:rPr>
              <w:t>/1</w:t>
            </w:r>
            <w:r>
              <w:rPr>
                <w:rFonts w:hint="default" w:ascii="Gotham Pro" w:hAnsi="Gotham Pro" w:cs="Gotham Pro"/>
                <w:sz w:val="20"/>
                <w:szCs w:val="20"/>
                <w:lang w:val="ru-RU"/>
              </w:rPr>
              <w:t>,</w:t>
            </w:r>
            <w:r>
              <w:rPr>
                <w:rFonts w:hint="default" w:ascii="Gotham Pro" w:hAnsi="Gotham Pro" w:cs="Gotham Pro"/>
                <w:sz w:val="20"/>
                <w:szCs w:val="20"/>
                <w:lang w:val="en-US"/>
              </w:rPr>
              <w:t>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из них:</w:t>
            </w:r>
          </w:p>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 xml:space="preserve">в индивидуальных жилых домах,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en-US"/>
              </w:rPr>
              <w:t>1268/98</w:t>
            </w:r>
            <w:r>
              <w:rPr>
                <w:rFonts w:hint="default" w:ascii="Gotham Pro" w:hAnsi="Gotham Pro" w:cs="Gotham Pro"/>
                <w:sz w:val="20"/>
                <w:szCs w:val="20"/>
                <w:lang w:val="ru-RU"/>
              </w:rPr>
              <w:t>,</w:t>
            </w:r>
            <w:r>
              <w:rPr>
                <w:rFonts w:hint="default" w:ascii="Gotham Pro" w:hAnsi="Gotham Pro" w:cs="Gotham Pro"/>
                <w:sz w:val="20"/>
                <w:szCs w:val="20"/>
                <w:lang w:val="en-US"/>
              </w:rPr>
              <w:t>92</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1188</w:t>
            </w:r>
            <w:r>
              <w:rPr>
                <w:rFonts w:hint="default" w:ascii="Gotham Pro" w:hAnsi="Gotham Pro" w:cs="Gotham Pro"/>
                <w:sz w:val="20"/>
                <w:szCs w:val="20"/>
                <w:lang w:val="en-US"/>
              </w:rPr>
              <w:t>/</w:t>
            </w:r>
            <w:r>
              <w:rPr>
                <w:rFonts w:hint="default" w:ascii="Gotham Pro" w:hAnsi="Gotham Pro" w:cs="Gotham Pro"/>
                <w:sz w:val="20"/>
                <w:szCs w:val="20"/>
                <w:lang w:val="ru-RU"/>
              </w:rPr>
              <w:t>92,28</w:t>
            </w:r>
          </w:p>
        </w:tc>
        <w:tc>
          <w:tcPr>
            <w:tcW w:w="128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11</w:t>
            </w:r>
            <w:r>
              <w:rPr>
                <w:rFonts w:hint="default" w:ascii="Gotham Pro" w:hAnsi="Gotham Pro" w:cs="Gotham Pro"/>
                <w:sz w:val="20"/>
                <w:szCs w:val="20"/>
                <w:lang w:val="en-US"/>
              </w:rPr>
              <w:t>/</w:t>
            </w:r>
            <w:r>
              <w:rPr>
                <w:rFonts w:hint="default" w:ascii="Gotham Pro" w:hAnsi="Gotham Pro" w:cs="Gotham Pro"/>
                <w:sz w:val="20"/>
                <w:szCs w:val="20"/>
                <w:lang w:val="ru-RU"/>
              </w:rPr>
              <w:t>0,8</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47</w:t>
            </w:r>
            <w:r>
              <w:rPr>
                <w:rFonts w:hint="default" w:ascii="Gotham Pro" w:hAnsi="Gotham Pro" w:cs="Gotham Pro"/>
                <w:sz w:val="20"/>
                <w:szCs w:val="20"/>
                <w:lang w:val="en-US"/>
              </w:rPr>
              <w:t>/4</w:t>
            </w:r>
            <w:r>
              <w:rPr>
                <w:rFonts w:hint="default" w:ascii="Gotham Pro" w:hAnsi="Gotham Pro" w:cs="Gotham Pro"/>
                <w:sz w:val="20"/>
                <w:szCs w:val="20"/>
                <w:lang w:val="ru-RU"/>
              </w:rPr>
              <w:t>,3</w:t>
            </w:r>
          </w:p>
        </w:tc>
        <w:tc>
          <w:tcPr>
            <w:tcW w:w="133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22</w:t>
            </w:r>
            <w:r>
              <w:rPr>
                <w:rFonts w:hint="default" w:ascii="Gotham Pro" w:hAnsi="Gotham Pro" w:cs="Gotham Pro"/>
                <w:sz w:val="20"/>
                <w:szCs w:val="20"/>
                <w:lang w:val="en-US"/>
              </w:rPr>
              <w:t>/</w:t>
            </w:r>
            <w:r>
              <w:rPr>
                <w:rFonts w:hint="default" w:ascii="Gotham Pro" w:hAnsi="Gotham Pro" w:cs="Gotham Pro"/>
                <w:sz w:val="20"/>
                <w:szCs w:val="20"/>
                <w:lang w:val="ru-RU"/>
              </w:rPr>
              <w:t>1,54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 xml:space="preserve">Многоквартирных домах,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52"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285"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05"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33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 xml:space="preserve">Домах блокированной застройки,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789</w:t>
            </w:r>
            <w:r>
              <w:rPr>
                <w:rFonts w:hint="default" w:ascii="Gotham Pro" w:hAnsi="Gotham Pro" w:cs="Gotham Pro"/>
                <w:sz w:val="20"/>
                <w:szCs w:val="20"/>
                <w:lang w:val="en-US"/>
              </w:rPr>
              <w:t>/</w:t>
            </w:r>
            <w:r>
              <w:rPr>
                <w:rFonts w:hint="default" w:ascii="Gotham Pro" w:hAnsi="Gotham Pro" w:cs="Gotham Pro"/>
                <w:sz w:val="20"/>
                <w:szCs w:val="20"/>
                <w:lang w:val="ru-RU"/>
              </w:rPr>
              <w:t>55,28</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714</w:t>
            </w:r>
            <w:r>
              <w:rPr>
                <w:rFonts w:hint="default" w:ascii="Gotham Pro" w:hAnsi="Gotham Pro" w:cs="Gotham Pro"/>
                <w:sz w:val="20"/>
                <w:szCs w:val="20"/>
                <w:lang w:val="en-US"/>
              </w:rPr>
              <w:t>/</w:t>
            </w:r>
            <w:r>
              <w:rPr>
                <w:rFonts w:hint="default" w:ascii="Gotham Pro" w:hAnsi="Gotham Pro" w:cs="Gotham Pro"/>
                <w:sz w:val="20"/>
                <w:szCs w:val="20"/>
                <w:lang w:val="ru-RU"/>
              </w:rPr>
              <w:t>50</w:t>
            </w:r>
          </w:p>
        </w:tc>
        <w:tc>
          <w:tcPr>
            <w:tcW w:w="1285"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en-US"/>
              </w:rPr>
              <w:t>48/</w:t>
            </w:r>
            <w:r>
              <w:rPr>
                <w:rFonts w:hint="default" w:ascii="Gotham Pro" w:hAnsi="Gotham Pro" w:cs="Gotham Pro"/>
                <w:sz w:val="20"/>
                <w:szCs w:val="20"/>
                <w:lang w:val="ru-RU"/>
              </w:rPr>
              <w:t>3,2</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22</w:t>
            </w:r>
            <w:r>
              <w:rPr>
                <w:rFonts w:hint="default" w:ascii="Gotham Pro" w:hAnsi="Gotham Pro" w:cs="Gotham Pro"/>
                <w:sz w:val="20"/>
                <w:szCs w:val="20"/>
                <w:lang w:val="en-US"/>
              </w:rPr>
              <w:t>/</w:t>
            </w:r>
            <w:r>
              <w:rPr>
                <w:rFonts w:hint="default" w:ascii="Gotham Pro" w:hAnsi="Gotham Pro" w:cs="Gotham Pro"/>
                <w:sz w:val="20"/>
                <w:szCs w:val="20"/>
                <w:lang w:val="ru-RU"/>
              </w:rPr>
              <w:t>1,8</w:t>
            </w:r>
          </w:p>
        </w:tc>
        <w:tc>
          <w:tcPr>
            <w:tcW w:w="133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5</w:t>
            </w:r>
            <w:r>
              <w:rPr>
                <w:rFonts w:hint="default" w:ascii="Gotham Pro" w:hAnsi="Gotham Pro" w:cs="Gotham Pro"/>
                <w:sz w:val="20"/>
                <w:szCs w:val="20"/>
                <w:lang w:val="en-US"/>
              </w:rPr>
              <w:t>/0</w:t>
            </w:r>
            <w:r>
              <w:rPr>
                <w:rFonts w:hint="default" w:ascii="Gotham Pro" w:hAnsi="Gotham Pro" w:cs="Gotham Pro"/>
                <w:sz w:val="20"/>
                <w:szCs w:val="20"/>
                <w:lang w:val="ru-RU"/>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По проценту износа:</w:t>
            </w:r>
          </w:p>
        </w:tc>
        <w:tc>
          <w:tcPr>
            <w:tcW w:w="1368" w:type="dxa"/>
          </w:tcPr>
          <w:p>
            <w:pPr>
              <w:pStyle w:val="11"/>
              <w:widowControl w:val="0"/>
              <w:bidi w:val="0"/>
              <w:jc w:val="center"/>
              <w:rPr>
                <w:rFonts w:hint="default" w:ascii="Gotham Pro" w:hAnsi="Gotham Pro" w:cs="Gotham Pro"/>
                <w:sz w:val="20"/>
                <w:szCs w:val="20"/>
              </w:rPr>
            </w:pPr>
          </w:p>
        </w:tc>
        <w:tc>
          <w:tcPr>
            <w:tcW w:w="1452" w:type="dxa"/>
          </w:tcPr>
          <w:p>
            <w:pPr>
              <w:pStyle w:val="11"/>
              <w:widowControl w:val="0"/>
              <w:bidi w:val="0"/>
              <w:jc w:val="center"/>
              <w:rPr>
                <w:rFonts w:hint="default" w:ascii="Gotham Pro" w:hAnsi="Gotham Pro" w:cs="Gotham Pro"/>
                <w:sz w:val="20"/>
                <w:szCs w:val="20"/>
              </w:rPr>
            </w:pPr>
          </w:p>
        </w:tc>
        <w:tc>
          <w:tcPr>
            <w:tcW w:w="1285" w:type="dxa"/>
          </w:tcPr>
          <w:p>
            <w:pPr>
              <w:pStyle w:val="11"/>
              <w:widowControl w:val="0"/>
              <w:bidi w:val="0"/>
              <w:jc w:val="center"/>
              <w:rPr>
                <w:rFonts w:hint="default" w:ascii="Gotham Pro" w:hAnsi="Gotham Pro" w:cs="Gotham Pro"/>
                <w:sz w:val="20"/>
                <w:szCs w:val="20"/>
              </w:rPr>
            </w:pPr>
          </w:p>
        </w:tc>
        <w:tc>
          <w:tcPr>
            <w:tcW w:w="1405" w:type="dxa"/>
          </w:tcPr>
          <w:p>
            <w:pPr>
              <w:pStyle w:val="11"/>
              <w:widowControl w:val="0"/>
              <w:bidi w:val="0"/>
              <w:jc w:val="center"/>
              <w:rPr>
                <w:rFonts w:hint="default" w:ascii="Gotham Pro" w:hAnsi="Gotham Pro" w:cs="Gotham Pro"/>
                <w:sz w:val="20"/>
                <w:szCs w:val="20"/>
              </w:rPr>
            </w:pPr>
          </w:p>
        </w:tc>
        <w:tc>
          <w:tcPr>
            <w:tcW w:w="1338" w:type="dxa"/>
          </w:tcPr>
          <w:p>
            <w:pPr>
              <w:pStyle w:val="11"/>
              <w:widowControl w:val="0"/>
              <w:bidi w:val="0"/>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из них:</w:t>
            </w:r>
          </w:p>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в индивидуальных жилых домах:</w:t>
            </w:r>
          </w:p>
        </w:tc>
        <w:tc>
          <w:tcPr>
            <w:tcW w:w="1368" w:type="dxa"/>
          </w:tcPr>
          <w:p>
            <w:pPr>
              <w:pStyle w:val="11"/>
              <w:widowControl w:val="0"/>
              <w:bidi w:val="0"/>
              <w:jc w:val="center"/>
              <w:rPr>
                <w:rFonts w:hint="default" w:ascii="Gotham Pro" w:hAnsi="Gotham Pro" w:cs="Gotham Pro"/>
                <w:sz w:val="20"/>
                <w:szCs w:val="20"/>
              </w:rPr>
            </w:pPr>
          </w:p>
        </w:tc>
        <w:tc>
          <w:tcPr>
            <w:tcW w:w="1452" w:type="dxa"/>
          </w:tcPr>
          <w:p>
            <w:pPr>
              <w:pStyle w:val="11"/>
              <w:widowControl w:val="0"/>
              <w:bidi w:val="0"/>
              <w:jc w:val="center"/>
              <w:rPr>
                <w:rFonts w:hint="default" w:ascii="Gotham Pro" w:hAnsi="Gotham Pro" w:cs="Gotham Pro"/>
                <w:sz w:val="20"/>
                <w:szCs w:val="20"/>
              </w:rPr>
            </w:pPr>
          </w:p>
        </w:tc>
        <w:tc>
          <w:tcPr>
            <w:tcW w:w="1285" w:type="dxa"/>
          </w:tcPr>
          <w:p>
            <w:pPr>
              <w:pStyle w:val="11"/>
              <w:widowControl w:val="0"/>
              <w:bidi w:val="0"/>
              <w:jc w:val="center"/>
              <w:rPr>
                <w:rFonts w:hint="default" w:ascii="Gotham Pro" w:hAnsi="Gotham Pro" w:cs="Gotham Pro"/>
                <w:sz w:val="20"/>
                <w:szCs w:val="20"/>
                <w:lang w:val="ru-RU"/>
              </w:rPr>
            </w:pPr>
          </w:p>
        </w:tc>
        <w:tc>
          <w:tcPr>
            <w:tcW w:w="1405" w:type="dxa"/>
          </w:tcPr>
          <w:p>
            <w:pPr>
              <w:pStyle w:val="11"/>
              <w:widowControl w:val="0"/>
              <w:bidi w:val="0"/>
              <w:jc w:val="center"/>
              <w:rPr>
                <w:rFonts w:hint="default" w:ascii="Gotham Pro" w:hAnsi="Gotham Pro" w:cs="Gotham Pro"/>
                <w:sz w:val="20"/>
                <w:szCs w:val="20"/>
              </w:rPr>
            </w:pPr>
          </w:p>
        </w:tc>
        <w:tc>
          <w:tcPr>
            <w:tcW w:w="1338" w:type="dxa"/>
          </w:tcPr>
          <w:p>
            <w:pPr>
              <w:pStyle w:val="11"/>
              <w:widowControl w:val="0"/>
              <w:bidi w:val="0"/>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 xml:space="preserve">от 0 до 30%,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790</w:t>
            </w:r>
            <w:r>
              <w:rPr>
                <w:rFonts w:hint="default" w:ascii="Gotham Pro" w:hAnsi="Gotham Pro" w:cs="Gotham Pro"/>
                <w:sz w:val="20"/>
                <w:szCs w:val="20"/>
                <w:lang w:val="en-US"/>
              </w:rPr>
              <w:t>/</w:t>
            </w:r>
            <w:r>
              <w:rPr>
                <w:rFonts w:hint="default" w:ascii="Gotham Pro" w:hAnsi="Gotham Pro" w:cs="Gotham Pro"/>
                <w:sz w:val="20"/>
                <w:szCs w:val="20"/>
                <w:lang w:val="ru-RU"/>
              </w:rPr>
              <w:t>61,42</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790</w:t>
            </w:r>
            <w:r>
              <w:rPr>
                <w:rFonts w:hint="default" w:ascii="Gotham Pro" w:hAnsi="Gotham Pro" w:cs="Gotham Pro"/>
                <w:sz w:val="20"/>
                <w:szCs w:val="20"/>
                <w:lang w:val="en-US"/>
              </w:rPr>
              <w:t>/</w:t>
            </w:r>
            <w:r>
              <w:rPr>
                <w:rFonts w:hint="default" w:ascii="Gotham Pro" w:hAnsi="Gotham Pro" w:cs="Gotham Pro"/>
                <w:sz w:val="20"/>
                <w:szCs w:val="20"/>
                <w:lang w:val="ru-RU"/>
              </w:rPr>
              <w:t>61,42</w:t>
            </w:r>
          </w:p>
        </w:tc>
        <w:tc>
          <w:tcPr>
            <w:tcW w:w="1285"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05"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33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Align w:val="top"/>
          </w:tcPr>
          <w:p>
            <w:pPr>
              <w:pStyle w:val="11"/>
              <w:widowControl w:val="0"/>
              <w:bidi w:val="0"/>
              <w:jc w:val="both"/>
              <w:rPr>
                <w:rFonts w:hint="default" w:ascii="Gotham Pro" w:hAnsi="Gotham Pro" w:cs="Gotham Pro"/>
                <w:sz w:val="20"/>
                <w:szCs w:val="20"/>
                <w:lang w:val="ru-RU" w:eastAsia="zh-CN"/>
              </w:rPr>
            </w:pPr>
            <w:r>
              <w:rPr>
                <w:rFonts w:hint="default" w:ascii="Gotham Pro" w:hAnsi="Gotham Pro" w:cs="Gotham Pro"/>
                <w:sz w:val="20"/>
                <w:szCs w:val="20"/>
                <w:lang w:val="ru-RU"/>
              </w:rPr>
              <w:t xml:space="preserve">от 31 до 65%,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272</w:t>
            </w:r>
            <w:r>
              <w:rPr>
                <w:rFonts w:hint="default" w:ascii="Gotham Pro" w:hAnsi="Gotham Pro" w:cs="Gotham Pro"/>
                <w:sz w:val="20"/>
                <w:szCs w:val="20"/>
                <w:lang w:val="en-US"/>
              </w:rPr>
              <w:t>/21</w:t>
            </w:r>
            <w:r>
              <w:rPr>
                <w:rFonts w:hint="default" w:ascii="Gotham Pro" w:hAnsi="Gotham Pro" w:cs="Gotham Pro"/>
                <w:sz w:val="20"/>
                <w:szCs w:val="20"/>
                <w:lang w:val="ru-RU"/>
              </w:rPr>
              <w:t>,66</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220</w:t>
            </w:r>
            <w:r>
              <w:rPr>
                <w:rFonts w:hint="default" w:ascii="Gotham Pro" w:hAnsi="Gotham Pro" w:cs="Gotham Pro"/>
                <w:sz w:val="20"/>
                <w:szCs w:val="20"/>
                <w:lang w:val="en-US"/>
              </w:rPr>
              <w:t>/17</w:t>
            </w:r>
            <w:r>
              <w:rPr>
                <w:rFonts w:hint="default" w:ascii="Gotham Pro" w:hAnsi="Gotham Pro" w:cs="Gotham Pro"/>
                <w:sz w:val="20"/>
                <w:szCs w:val="20"/>
                <w:lang w:val="ru-RU"/>
              </w:rPr>
              <w:t>,16</w:t>
            </w:r>
          </w:p>
        </w:tc>
        <w:tc>
          <w:tcPr>
            <w:tcW w:w="128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9</w:t>
            </w:r>
            <w:r>
              <w:rPr>
                <w:rFonts w:hint="default" w:ascii="Gotham Pro" w:hAnsi="Gotham Pro" w:cs="Gotham Pro"/>
                <w:sz w:val="20"/>
                <w:szCs w:val="20"/>
                <w:lang w:val="en-US"/>
              </w:rPr>
              <w:t>/</w:t>
            </w:r>
            <w:r>
              <w:rPr>
                <w:rFonts w:hint="default" w:ascii="Gotham Pro" w:hAnsi="Gotham Pro" w:cs="Gotham Pro"/>
                <w:sz w:val="20"/>
                <w:szCs w:val="20"/>
                <w:lang w:val="ru-RU"/>
              </w:rPr>
              <w:t>0,6</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29</w:t>
            </w:r>
            <w:r>
              <w:rPr>
                <w:rFonts w:hint="default" w:ascii="Gotham Pro" w:hAnsi="Gotham Pro" w:cs="Gotham Pro"/>
                <w:sz w:val="20"/>
                <w:szCs w:val="20"/>
                <w:lang w:val="en-US"/>
              </w:rPr>
              <w:t>/</w:t>
            </w:r>
            <w:r>
              <w:rPr>
                <w:rFonts w:hint="default" w:ascii="Gotham Pro" w:hAnsi="Gotham Pro" w:cs="Gotham Pro"/>
                <w:sz w:val="20"/>
                <w:szCs w:val="20"/>
                <w:lang w:val="ru-RU"/>
              </w:rPr>
              <w:t>2,9</w:t>
            </w:r>
          </w:p>
        </w:tc>
        <w:tc>
          <w:tcPr>
            <w:tcW w:w="1338"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ru-RU"/>
              </w:rPr>
              <w:t>14</w:t>
            </w:r>
            <w:r>
              <w:rPr>
                <w:rFonts w:hint="default" w:ascii="Gotham Pro" w:hAnsi="Gotham Pro" w:cs="Gotham Pro"/>
                <w:sz w:val="20"/>
                <w:szCs w:val="20"/>
                <w:lang w:val="en-US"/>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rPr>
            </w:pPr>
            <w:r>
              <w:rPr>
                <w:rFonts w:hint="default" w:ascii="Gotham Pro" w:hAnsi="Gotham Pro" w:cs="Gotham Pro"/>
                <w:sz w:val="20"/>
                <w:szCs w:val="20"/>
                <w:lang w:val="ru-RU"/>
              </w:rPr>
              <w:t xml:space="preserve">от 66 до 70%,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206</w:t>
            </w:r>
            <w:r>
              <w:rPr>
                <w:rFonts w:hint="default" w:ascii="Gotham Pro" w:hAnsi="Gotham Pro" w:cs="Gotham Pro"/>
                <w:sz w:val="20"/>
                <w:szCs w:val="20"/>
                <w:lang w:val="en-US"/>
              </w:rPr>
              <w:t>/</w:t>
            </w:r>
            <w:r>
              <w:rPr>
                <w:rFonts w:hint="default" w:ascii="Gotham Pro" w:hAnsi="Gotham Pro" w:cs="Gotham Pro"/>
                <w:sz w:val="20"/>
                <w:szCs w:val="20"/>
                <w:lang w:val="ru-RU"/>
              </w:rPr>
              <w:t>15,84</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178</w:t>
            </w:r>
            <w:r>
              <w:rPr>
                <w:rFonts w:hint="default" w:ascii="Gotham Pro" w:hAnsi="Gotham Pro" w:cs="Gotham Pro"/>
                <w:sz w:val="20"/>
                <w:szCs w:val="20"/>
                <w:lang w:val="en-US"/>
              </w:rPr>
              <w:t>/13</w:t>
            </w:r>
            <w:r>
              <w:rPr>
                <w:rFonts w:hint="default" w:ascii="Gotham Pro" w:hAnsi="Gotham Pro" w:cs="Gotham Pro"/>
                <w:sz w:val="20"/>
                <w:szCs w:val="20"/>
                <w:lang w:val="ru-RU"/>
              </w:rPr>
              <w:t>,7</w:t>
            </w:r>
          </w:p>
        </w:tc>
        <w:tc>
          <w:tcPr>
            <w:tcW w:w="128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w:t>
            </w:r>
            <w:r>
              <w:rPr>
                <w:rFonts w:hint="default" w:ascii="Gotham Pro" w:hAnsi="Gotham Pro" w:cs="Gotham Pro"/>
                <w:sz w:val="20"/>
                <w:szCs w:val="20"/>
                <w:lang w:val="en-US"/>
              </w:rPr>
              <w:t>/</w:t>
            </w:r>
            <w:r>
              <w:rPr>
                <w:rFonts w:hint="default" w:ascii="Gotham Pro" w:hAnsi="Gotham Pro" w:cs="Gotham Pro"/>
                <w:sz w:val="20"/>
                <w:szCs w:val="20"/>
                <w:lang w:val="ru-RU"/>
              </w:rPr>
              <w:t>0,2</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18</w:t>
            </w:r>
            <w:r>
              <w:rPr>
                <w:rFonts w:hint="default" w:ascii="Gotham Pro" w:hAnsi="Gotham Pro" w:cs="Gotham Pro"/>
                <w:sz w:val="20"/>
                <w:szCs w:val="20"/>
                <w:lang w:val="en-US"/>
              </w:rPr>
              <w:t>/</w:t>
            </w:r>
            <w:r>
              <w:rPr>
                <w:rFonts w:hint="default" w:ascii="Gotham Pro" w:hAnsi="Gotham Pro" w:cs="Gotham Pro"/>
                <w:sz w:val="20"/>
                <w:szCs w:val="20"/>
                <w:lang w:val="ru-RU"/>
              </w:rPr>
              <w:t>1,4</w:t>
            </w:r>
          </w:p>
        </w:tc>
        <w:tc>
          <w:tcPr>
            <w:tcW w:w="133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en-US"/>
              </w:rPr>
              <w:t>8/0</w:t>
            </w:r>
            <w:r>
              <w:rPr>
                <w:rFonts w:hint="default" w:ascii="Gotham Pro" w:hAnsi="Gotham Pro" w:cs="Gotham Pro"/>
                <w:sz w:val="20"/>
                <w:szCs w:val="20"/>
                <w:lang w:val="ru-RU"/>
              </w:rPr>
              <w:t>,54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tcPr>
          <w:p>
            <w:pPr>
              <w:pStyle w:val="11"/>
              <w:widowControl w:val="0"/>
              <w:bidi w:val="0"/>
              <w:jc w:val="both"/>
              <w:rPr>
                <w:rFonts w:hint="default" w:ascii="Gotham Pro" w:hAnsi="Gotham Pro" w:cs="Gotham Pro"/>
                <w:sz w:val="20"/>
                <w:szCs w:val="20"/>
              </w:rPr>
            </w:pPr>
            <w:r>
              <w:rPr>
                <w:rFonts w:hint="default" w:ascii="Gotham Pro" w:hAnsi="Gotham Pro" w:cs="Gotham Pro"/>
                <w:sz w:val="20"/>
                <w:szCs w:val="20"/>
                <w:lang w:val="ru-RU"/>
              </w:rPr>
              <w:t xml:space="preserve">Свыше 70%,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52"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285" w:type="dxa"/>
            <w:vAlign w:val="top"/>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05" w:type="dxa"/>
            <w:vAlign w:val="top"/>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33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Align w:val="top"/>
          </w:tcPr>
          <w:p>
            <w:pPr>
              <w:pStyle w:val="11"/>
              <w:widowControl w:val="0"/>
              <w:bidi w:val="0"/>
              <w:jc w:val="both"/>
              <w:rPr>
                <w:rFonts w:hint="default" w:ascii="Gotham Pro" w:hAnsi="Gotham Pro" w:cs="Gotham Pro"/>
                <w:sz w:val="20"/>
                <w:szCs w:val="20"/>
                <w:lang w:val="ru-RU"/>
              </w:rPr>
            </w:pPr>
            <w:r>
              <w:rPr>
                <w:rFonts w:hint="default" w:ascii="Gotham Pro" w:hAnsi="Gotham Pro" w:cs="Gotham Pro"/>
                <w:sz w:val="20"/>
                <w:szCs w:val="20"/>
                <w:lang w:val="ru-RU"/>
              </w:rPr>
              <w:t>из них:</w:t>
            </w:r>
          </w:p>
          <w:p>
            <w:pPr>
              <w:pStyle w:val="11"/>
              <w:widowControl w:val="0"/>
              <w:bidi w:val="0"/>
              <w:jc w:val="both"/>
              <w:rPr>
                <w:rFonts w:hint="default" w:ascii="Gotham Pro" w:hAnsi="Gotham Pro" w:cs="Gotham Pro"/>
                <w:sz w:val="20"/>
                <w:szCs w:val="20"/>
                <w:lang w:val="ru-RU" w:eastAsia="zh-CN"/>
              </w:rPr>
            </w:pPr>
            <w:r>
              <w:rPr>
                <w:rFonts w:hint="default" w:ascii="Gotham Pro" w:hAnsi="Gotham Pro" w:cs="Gotham Pro"/>
                <w:sz w:val="20"/>
                <w:szCs w:val="20"/>
                <w:lang w:val="ru-RU"/>
              </w:rPr>
              <w:t>в домах блокированной застройки:</w:t>
            </w:r>
          </w:p>
        </w:tc>
        <w:tc>
          <w:tcPr>
            <w:tcW w:w="1368" w:type="dxa"/>
          </w:tcPr>
          <w:p>
            <w:pPr>
              <w:pStyle w:val="11"/>
              <w:widowControl w:val="0"/>
              <w:bidi w:val="0"/>
              <w:jc w:val="center"/>
              <w:rPr>
                <w:rFonts w:hint="default" w:ascii="Gotham Pro" w:hAnsi="Gotham Pro" w:cs="Gotham Pro"/>
                <w:sz w:val="20"/>
                <w:szCs w:val="20"/>
              </w:rPr>
            </w:pPr>
          </w:p>
        </w:tc>
        <w:tc>
          <w:tcPr>
            <w:tcW w:w="1452" w:type="dxa"/>
          </w:tcPr>
          <w:p>
            <w:pPr>
              <w:pStyle w:val="11"/>
              <w:widowControl w:val="0"/>
              <w:bidi w:val="0"/>
              <w:jc w:val="center"/>
              <w:rPr>
                <w:rFonts w:hint="default" w:ascii="Gotham Pro" w:hAnsi="Gotham Pro" w:cs="Gotham Pro"/>
                <w:sz w:val="20"/>
                <w:szCs w:val="20"/>
              </w:rPr>
            </w:pPr>
          </w:p>
        </w:tc>
        <w:tc>
          <w:tcPr>
            <w:tcW w:w="1285" w:type="dxa"/>
          </w:tcPr>
          <w:p>
            <w:pPr>
              <w:pStyle w:val="11"/>
              <w:widowControl w:val="0"/>
              <w:bidi w:val="0"/>
              <w:jc w:val="center"/>
              <w:rPr>
                <w:rFonts w:hint="default" w:ascii="Gotham Pro" w:hAnsi="Gotham Pro" w:cs="Gotham Pro"/>
                <w:sz w:val="20"/>
                <w:szCs w:val="20"/>
                <w:lang w:val="ru-RU"/>
              </w:rPr>
            </w:pPr>
          </w:p>
        </w:tc>
        <w:tc>
          <w:tcPr>
            <w:tcW w:w="1405" w:type="dxa"/>
          </w:tcPr>
          <w:p>
            <w:pPr>
              <w:pStyle w:val="11"/>
              <w:widowControl w:val="0"/>
              <w:bidi w:val="0"/>
              <w:jc w:val="center"/>
              <w:rPr>
                <w:rFonts w:hint="default" w:ascii="Gotham Pro" w:hAnsi="Gotham Pro" w:cs="Gotham Pro"/>
                <w:sz w:val="20"/>
                <w:szCs w:val="20"/>
              </w:rPr>
            </w:pPr>
          </w:p>
        </w:tc>
        <w:tc>
          <w:tcPr>
            <w:tcW w:w="1338" w:type="dxa"/>
          </w:tcPr>
          <w:p>
            <w:pPr>
              <w:pStyle w:val="11"/>
              <w:widowControl w:val="0"/>
              <w:bidi w:val="0"/>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Align w:val="top"/>
          </w:tcPr>
          <w:p>
            <w:pPr>
              <w:pStyle w:val="11"/>
              <w:widowControl w:val="0"/>
              <w:bidi w:val="0"/>
              <w:jc w:val="both"/>
              <w:rPr>
                <w:rFonts w:hint="default" w:ascii="Gotham Pro" w:hAnsi="Gotham Pro" w:cs="Gotham Pro"/>
                <w:sz w:val="20"/>
                <w:szCs w:val="20"/>
                <w:lang w:val="ru-RU" w:eastAsia="zh-CN"/>
              </w:rPr>
            </w:pPr>
            <w:r>
              <w:rPr>
                <w:rFonts w:hint="default" w:ascii="Gotham Pro" w:hAnsi="Gotham Pro" w:cs="Gotham Pro"/>
                <w:sz w:val="20"/>
                <w:szCs w:val="20"/>
                <w:lang w:val="ru-RU"/>
              </w:rPr>
              <w:t xml:space="preserve">от 0 до 30%,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232</w:t>
            </w:r>
            <w:r>
              <w:rPr>
                <w:rFonts w:hint="default" w:ascii="Gotham Pro" w:hAnsi="Gotham Pro" w:cs="Gotham Pro"/>
                <w:sz w:val="20"/>
                <w:szCs w:val="20"/>
                <w:lang w:val="en-US"/>
              </w:rPr>
              <w:t>/16</w:t>
            </w:r>
            <w:r>
              <w:rPr>
                <w:rFonts w:hint="default" w:ascii="Gotham Pro" w:hAnsi="Gotham Pro" w:cs="Gotham Pro"/>
                <w:sz w:val="20"/>
                <w:szCs w:val="20"/>
                <w:lang w:val="ru-RU"/>
              </w:rPr>
              <w:t>,</w:t>
            </w:r>
            <w:r>
              <w:rPr>
                <w:rFonts w:hint="default" w:ascii="Gotham Pro" w:hAnsi="Gotham Pro" w:cs="Gotham Pro"/>
                <w:sz w:val="20"/>
                <w:szCs w:val="20"/>
                <w:lang w:val="en-US"/>
              </w:rPr>
              <w:t>3</w:t>
            </w:r>
          </w:p>
        </w:tc>
        <w:tc>
          <w:tcPr>
            <w:tcW w:w="1452"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ru-RU"/>
              </w:rPr>
              <w:t>232</w:t>
            </w:r>
            <w:r>
              <w:rPr>
                <w:rFonts w:hint="default" w:ascii="Gotham Pro" w:hAnsi="Gotham Pro" w:cs="Gotham Pro"/>
                <w:sz w:val="20"/>
                <w:szCs w:val="20"/>
                <w:lang w:val="en-US"/>
              </w:rPr>
              <w:t>/16</w:t>
            </w:r>
            <w:r>
              <w:rPr>
                <w:rFonts w:hint="default" w:ascii="Gotham Pro" w:hAnsi="Gotham Pro" w:cs="Gotham Pro"/>
                <w:sz w:val="20"/>
                <w:szCs w:val="20"/>
                <w:lang w:val="ru-RU"/>
              </w:rPr>
              <w:t>,</w:t>
            </w:r>
            <w:r>
              <w:rPr>
                <w:rFonts w:hint="default" w:ascii="Gotham Pro" w:hAnsi="Gotham Pro" w:cs="Gotham Pro"/>
                <w:sz w:val="20"/>
                <w:szCs w:val="20"/>
                <w:lang w:val="en-US"/>
              </w:rPr>
              <w:t>3</w:t>
            </w:r>
          </w:p>
        </w:tc>
        <w:tc>
          <w:tcPr>
            <w:tcW w:w="1285"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05"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33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Align w:val="top"/>
          </w:tcPr>
          <w:p>
            <w:pPr>
              <w:pStyle w:val="11"/>
              <w:widowControl w:val="0"/>
              <w:bidi w:val="0"/>
              <w:jc w:val="both"/>
              <w:rPr>
                <w:rFonts w:hint="default" w:ascii="Gotham Pro" w:hAnsi="Gotham Pro" w:cs="Gotham Pro"/>
                <w:sz w:val="20"/>
                <w:szCs w:val="20"/>
                <w:lang w:val="ru-RU" w:eastAsia="zh-CN"/>
              </w:rPr>
            </w:pPr>
            <w:r>
              <w:rPr>
                <w:rFonts w:hint="default" w:ascii="Gotham Pro" w:hAnsi="Gotham Pro" w:cs="Gotham Pro"/>
                <w:sz w:val="20"/>
                <w:szCs w:val="20"/>
                <w:lang w:val="ru-RU"/>
              </w:rPr>
              <w:t xml:space="preserve">от 31 до 65%,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473</w:t>
            </w:r>
            <w:r>
              <w:rPr>
                <w:rFonts w:hint="default" w:ascii="Gotham Pro" w:hAnsi="Gotham Pro" w:cs="Gotham Pro"/>
                <w:sz w:val="20"/>
                <w:szCs w:val="20"/>
                <w:lang w:val="en-US"/>
              </w:rPr>
              <w:t>/33</w:t>
            </w:r>
            <w:r>
              <w:rPr>
                <w:rFonts w:hint="default" w:ascii="Gotham Pro" w:hAnsi="Gotham Pro" w:cs="Gotham Pro"/>
                <w:sz w:val="20"/>
                <w:szCs w:val="20"/>
                <w:lang w:val="ru-RU"/>
              </w:rPr>
              <w:t>,3</w:t>
            </w:r>
          </w:p>
        </w:tc>
        <w:tc>
          <w:tcPr>
            <w:tcW w:w="1452" w:type="dxa"/>
          </w:tcPr>
          <w:p>
            <w:pPr>
              <w:pStyle w:val="11"/>
              <w:widowControl w:val="0"/>
              <w:bidi w:val="0"/>
              <w:jc w:val="center"/>
              <w:rPr>
                <w:rFonts w:hint="default" w:ascii="Gotham Pro" w:hAnsi="Gotham Pro" w:cs="Gotham Pro"/>
                <w:sz w:val="20"/>
                <w:szCs w:val="20"/>
                <w:lang w:val="en-US"/>
              </w:rPr>
            </w:pPr>
            <w:r>
              <w:rPr>
                <w:rFonts w:hint="default" w:ascii="Gotham Pro" w:hAnsi="Gotham Pro" w:cs="Gotham Pro"/>
                <w:sz w:val="20"/>
                <w:szCs w:val="20"/>
                <w:lang w:val="ru-RU"/>
              </w:rPr>
              <w:t>414</w:t>
            </w:r>
            <w:r>
              <w:rPr>
                <w:rFonts w:hint="default" w:ascii="Gotham Pro" w:hAnsi="Gotham Pro" w:cs="Gotham Pro"/>
                <w:sz w:val="20"/>
                <w:szCs w:val="20"/>
                <w:lang w:val="en-US"/>
              </w:rPr>
              <w:t>/29</w:t>
            </w:r>
          </w:p>
        </w:tc>
        <w:tc>
          <w:tcPr>
            <w:tcW w:w="128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38</w:t>
            </w:r>
            <w:r>
              <w:rPr>
                <w:rFonts w:hint="default" w:ascii="Gotham Pro" w:hAnsi="Gotham Pro" w:cs="Gotham Pro"/>
                <w:sz w:val="20"/>
                <w:szCs w:val="20"/>
                <w:lang w:val="en-US"/>
              </w:rPr>
              <w:t>/</w:t>
            </w:r>
            <w:r>
              <w:rPr>
                <w:rFonts w:hint="default" w:ascii="Gotham Pro" w:hAnsi="Gotham Pro" w:cs="Gotham Pro"/>
                <w:sz w:val="20"/>
                <w:szCs w:val="20"/>
                <w:lang w:val="ru-RU"/>
              </w:rPr>
              <w:t>2,5</w:t>
            </w:r>
          </w:p>
        </w:tc>
        <w:tc>
          <w:tcPr>
            <w:tcW w:w="140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21</w:t>
            </w:r>
            <w:r>
              <w:rPr>
                <w:rFonts w:hint="default" w:ascii="Gotham Pro" w:hAnsi="Gotham Pro" w:cs="Gotham Pro"/>
                <w:sz w:val="20"/>
                <w:szCs w:val="20"/>
                <w:lang w:val="en-US"/>
              </w:rPr>
              <w:t>/</w:t>
            </w:r>
            <w:r>
              <w:rPr>
                <w:rFonts w:hint="default" w:ascii="Gotham Pro" w:hAnsi="Gotham Pro" w:cs="Gotham Pro"/>
                <w:sz w:val="20"/>
                <w:szCs w:val="20"/>
                <w:lang w:val="ru-RU"/>
              </w:rPr>
              <w:t>1,8</w:t>
            </w:r>
          </w:p>
        </w:tc>
        <w:tc>
          <w:tcPr>
            <w:tcW w:w="133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Align w:val="top"/>
          </w:tcPr>
          <w:p>
            <w:pPr>
              <w:pStyle w:val="11"/>
              <w:widowControl w:val="0"/>
              <w:bidi w:val="0"/>
              <w:jc w:val="both"/>
              <w:rPr>
                <w:rFonts w:hint="default" w:ascii="Gotham Pro" w:hAnsi="Gotham Pro" w:cs="Gotham Pro"/>
                <w:sz w:val="20"/>
                <w:szCs w:val="20"/>
                <w:lang w:val="en-US" w:eastAsia="zh-CN"/>
              </w:rPr>
            </w:pPr>
            <w:r>
              <w:rPr>
                <w:rFonts w:hint="default" w:ascii="Gotham Pro" w:hAnsi="Gotham Pro" w:cs="Gotham Pro"/>
                <w:sz w:val="20"/>
                <w:szCs w:val="20"/>
                <w:lang w:val="ru-RU"/>
              </w:rPr>
              <w:t xml:space="preserve">от 66 до 70%,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83</w:t>
            </w:r>
            <w:r>
              <w:rPr>
                <w:rFonts w:hint="default" w:ascii="Gotham Pro" w:hAnsi="Gotham Pro" w:cs="Gotham Pro"/>
                <w:sz w:val="20"/>
                <w:szCs w:val="20"/>
                <w:lang w:val="en-US"/>
              </w:rPr>
              <w:t>/</w:t>
            </w:r>
            <w:r>
              <w:rPr>
                <w:rFonts w:hint="default" w:ascii="Gotham Pro" w:hAnsi="Gotham Pro" w:cs="Gotham Pro"/>
                <w:sz w:val="20"/>
                <w:szCs w:val="20"/>
                <w:lang w:val="ru-RU"/>
              </w:rPr>
              <w:t>5.68</w:t>
            </w:r>
          </w:p>
        </w:tc>
        <w:tc>
          <w:tcPr>
            <w:tcW w:w="1452"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en-US"/>
              </w:rPr>
              <w:t>68/</w:t>
            </w:r>
            <w:r>
              <w:rPr>
                <w:rFonts w:hint="default" w:ascii="Gotham Pro" w:hAnsi="Gotham Pro" w:cs="Gotham Pro"/>
                <w:sz w:val="20"/>
                <w:szCs w:val="20"/>
                <w:lang w:val="ru-RU"/>
              </w:rPr>
              <w:t>4,7</w:t>
            </w:r>
          </w:p>
        </w:tc>
        <w:tc>
          <w:tcPr>
            <w:tcW w:w="1285"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10</w:t>
            </w:r>
            <w:r>
              <w:rPr>
                <w:rFonts w:hint="default" w:ascii="Gotham Pro" w:hAnsi="Gotham Pro" w:cs="Gotham Pro"/>
                <w:sz w:val="20"/>
                <w:szCs w:val="20"/>
                <w:lang w:val="en-US"/>
              </w:rPr>
              <w:t>/</w:t>
            </w:r>
            <w:r>
              <w:rPr>
                <w:rFonts w:hint="default" w:ascii="Gotham Pro" w:hAnsi="Gotham Pro" w:cs="Gotham Pro"/>
                <w:sz w:val="20"/>
                <w:szCs w:val="20"/>
                <w:lang w:val="ru-RU"/>
              </w:rPr>
              <w:t>0,7</w:t>
            </w:r>
          </w:p>
        </w:tc>
        <w:tc>
          <w:tcPr>
            <w:tcW w:w="1405"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338" w:type="dxa"/>
          </w:tcPr>
          <w:p>
            <w:pPr>
              <w:pStyle w:val="11"/>
              <w:widowControl w:val="0"/>
              <w:bidi w:val="0"/>
              <w:jc w:val="center"/>
              <w:rPr>
                <w:rFonts w:hint="default" w:ascii="Gotham Pro" w:hAnsi="Gotham Pro" w:cs="Gotham Pro"/>
                <w:sz w:val="20"/>
                <w:szCs w:val="20"/>
                <w:lang w:val="ru-RU"/>
              </w:rPr>
            </w:pPr>
            <w:r>
              <w:rPr>
                <w:rFonts w:hint="default" w:ascii="Gotham Pro" w:hAnsi="Gotham Pro" w:cs="Gotham Pro"/>
                <w:sz w:val="20"/>
                <w:szCs w:val="20"/>
                <w:lang w:val="ru-RU"/>
              </w:rPr>
              <w:t>5</w:t>
            </w:r>
            <w:r>
              <w:rPr>
                <w:rFonts w:hint="default" w:ascii="Gotham Pro" w:hAnsi="Gotham Pro" w:cs="Gotham Pro"/>
                <w:sz w:val="20"/>
                <w:szCs w:val="20"/>
                <w:lang w:val="en-US"/>
              </w:rPr>
              <w:t>/0</w:t>
            </w:r>
            <w:r>
              <w:rPr>
                <w:rFonts w:hint="default" w:ascii="Gotham Pro" w:hAnsi="Gotham Pro" w:cs="Gotham Pro"/>
                <w:sz w:val="20"/>
                <w:szCs w:val="20"/>
                <w:lang w:val="ru-RU"/>
              </w:rPr>
              <w:t>,28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822" w:type="dxa"/>
            <w:vAlign w:val="top"/>
          </w:tcPr>
          <w:p>
            <w:pPr>
              <w:pStyle w:val="11"/>
              <w:widowControl w:val="0"/>
              <w:bidi w:val="0"/>
              <w:jc w:val="both"/>
              <w:rPr>
                <w:rFonts w:hint="default" w:ascii="Gotham Pro" w:hAnsi="Gotham Pro" w:cs="Gotham Pro"/>
                <w:sz w:val="20"/>
                <w:szCs w:val="20"/>
                <w:lang w:val="en-US" w:eastAsia="zh-CN"/>
              </w:rPr>
            </w:pPr>
            <w:r>
              <w:rPr>
                <w:rFonts w:hint="default" w:ascii="Gotham Pro" w:hAnsi="Gotham Pro" w:cs="Gotham Pro"/>
                <w:sz w:val="20"/>
                <w:szCs w:val="20"/>
                <w:lang w:val="ru-RU"/>
              </w:rPr>
              <w:t xml:space="preserve">Свыше 70%, </w:t>
            </w:r>
            <w:r>
              <w:rPr>
                <w:rFonts w:hint="default" w:ascii="Gotham Pro" w:hAnsi="Gotham Pro" w:eastAsia="Calibri" w:cs="Gotham Pro"/>
                <w:sz w:val="20"/>
                <w:szCs w:val="20"/>
                <w:lang w:eastAsia="en-US"/>
              </w:rPr>
              <w:t>ед/</w:t>
            </w:r>
            <w:r>
              <w:rPr>
                <w:rFonts w:hint="default" w:ascii="Gotham Pro" w:hAnsi="Gotham Pro" w:eastAsia="Calibri" w:cs="Gotham Pro"/>
                <w:sz w:val="20"/>
                <w:szCs w:val="20"/>
                <w:lang w:val="ru-RU" w:eastAsia="en-US"/>
              </w:rPr>
              <w:t>тыс.</w:t>
            </w:r>
            <w:r>
              <w:rPr>
                <w:rFonts w:hint="default" w:ascii="Gotham Pro" w:hAnsi="Gotham Pro" w:eastAsia="Calibri" w:cs="Gotham Pro"/>
                <w:sz w:val="20"/>
                <w:szCs w:val="20"/>
                <w:lang w:eastAsia="en-US"/>
              </w:rPr>
              <w:t>м</w:t>
            </w:r>
            <w:r>
              <w:rPr>
                <w:rFonts w:hint="default" w:ascii="Gotham Pro" w:hAnsi="Gotham Pro" w:eastAsia="Calibri" w:cs="Gotham Pro"/>
                <w:sz w:val="20"/>
                <w:szCs w:val="20"/>
                <w:vertAlign w:val="superscript"/>
                <w:lang w:eastAsia="en-US"/>
              </w:rPr>
              <w:t>2</w:t>
            </w:r>
          </w:p>
        </w:tc>
        <w:tc>
          <w:tcPr>
            <w:tcW w:w="1368" w:type="dxa"/>
            <w:vAlign w:val="top"/>
          </w:tcPr>
          <w:p>
            <w:pPr>
              <w:pStyle w:val="11"/>
              <w:widowControl w:val="0"/>
              <w:bidi w:val="0"/>
              <w:jc w:val="center"/>
              <w:rPr>
                <w:rFonts w:hint="default" w:ascii="Gotham Pro" w:hAnsi="Gotham Pro" w:cs="Gotham Pro"/>
                <w:sz w:val="20"/>
                <w:szCs w:val="20"/>
                <w:lang w:val="en-US" w:eastAsia="zh-CN"/>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52"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285"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405"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c>
          <w:tcPr>
            <w:tcW w:w="1338" w:type="dxa"/>
          </w:tcPr>
          <w:p>
            <w:pPr>
              <w:pStyle w:val="11"/>
              <w:widowControl w:val="0"/>
              <w:bidi w:val="0"/>
              <w:jc w:val="center"/>
              <w:rPr>
                <w:rFonts w:hint="default" w:ascii="Gotham Pro" w:hAnsi="Gotham Pro" w:cs="Gotham Pro"/>
                <w:sz w:val="20"/>
                <w:szCs w:val="20"/>
              </w:rPr>
            </w:pPr>
            <w:r>
              <w:rPr>
                <w:rFonts w:hint="default" w:ascii="Gotham Pro" w:hAnsi="Gotham Pro" w:cs="Gotham Pro"/>
                <w:sz w:val="20"/>
                <w:szCs w:val="20"/>
                <w:lang w:val="ru-RU"/>
              </w:rPr>
              <w:t>0</w:t>
            </w:r>
            <w:r>
              <w:rPr>
                <w:rFonts w:hint="default" w:ascii="Gotham Pro" w:hAnsi="Gotham Pro" w:cs="Gotham Pro"/>
                <w:sz w:val="20"/>
                <w:szCs w:val="20"/>
                <w:lang w:val="en-US"/>
              </w:rPr>
              <w:t>/0</w:t>
            </w:r>
          </w:p>
        </w:tc>
      </w:tr>
    </w:tbl>
    <w:p>
      <w:pPr>
        <w:pStyle w:val="11"/>
        <w:spacing w:line="276" w:lineRule="auto"/>
        <w:ind w:firstLine="567"/>
        <w:jc w:val="both"/>
        <w:rPr>
          <w:rFonts w:hint="default" w:ascii="Gotham Pro" w:hAnsi="Gotham Pro" w:cs="Gotham Pro"/>
          <w:sz w:val="24"/>
          <w:szCs w:val="24"/>
        </w:rPr>
      </w:pPr>
    </w:p>
    <w:p>
      <w:pPr>
        <w:pStyle w:val="11"/>
        <w:spacing w:line="276" w:lineRule="auto"/>
        <w:ind w:firstLine="567"/>
        <w:jc w:val="both"/>
        <w:rPr>
          <w:rFonts w:hint="default" w:ascii="Gotham Pro" w:hAnsi="Gotham Pro" w:cs="Gotham Pro"/>
          <w:sz w:val="24"/>
          <w:szCs w:val="24"/>
        </w:rPr>
      </w:pPr>
      <w:r>
        <w:rPr>
          <w:rFonts w:hint="default" w:ascii="Gotham Pro" w:hAnsi="Gotham Pro" w:cs="Gotham Pro"/>
          <w:sz w:val="24"/>
          <w:szCs w:val="24"/>
        </w:rPr>
        <w:t>Средняя обеспеченность жилым фондом в поселении составляет на 1 гражданина 22,03 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ind w:firstLine="567"/>
        <w:jc w:val="both"/>
        <w:rPr>
          <w:rFonts w:hint="default" w:ascii="Gotham Pro" w:hAnsi="Gotham Pro" w:cs="Gotham Pro"/>
          <w:sz w:val="24"/>
          <w:szCs w:val="24"/>
          <w:highlight w:val="none"/>
        </w:rPr>
      </w:pPr>
      <w:r>
        <w:rPr>
          <w:rFonts w:hint="default" w:ascii="Gotham Pro" w:hAnsi="Gotham Pro" w:cs="Gotham Pro"/>
          <w:bCs/>
          <w:sz w:val="24"/>
          <w:szCs w:val="24"/>
          <w:highlight w:val="none"/>
        </w:rPr>
        <w:t>В 2021 году  в эксплуатацию</w:t>
      </w:r>
      <w:r>
        <w:rPr>
          <w:rFonts w:hint="default" w:ascii="Gotham Pro" w:hAnsi="Gotham Pro" w:cs="Gotham Pro"/>
          <w:bCs/>
          <w:sz w:val="24"/>
          <w:szCs w:val="24"/>
          <w:highlight w:val="none"/>
          <w:lang w:val="ru-RU"/>
        </w:rPr>
        <w:t xml:space="preserve"> </w:t>
      </w:r>
      <w:r>
        <w:rPr>
          <w:rFonts w:hint="default" w:ascii="Gotham Pro" w:hAnsi="Gotham Pro" w:cs="Gotham Pro"/>
          <w:bCs/>
          <w:sz w:val="24"/>
          <w:szCs w:val="24"/>
          <w:highlight w:val="none"/>
        </w:rPr>
        <w:t>введен 21 индивидуальный жилой дом общей площадью 2068 м</w:t>
      </w:r>
      <w:r>
        <w:rPr>
          <w:rFonts w:hint="default" w:ascii="Gotham Pro" w:hAnsi="Gotham Pro" w:cs="Gotham Pro"/>
          <w:bCs/>
          <w:sz w:val="24"/>
          <w:szCs w:val="24"/>
          <w:highlight w:val="none"/>
          <w:vertAlign w:val="superscript"/>
        </w:rPr>
        <w:t>2</w:t>
      </w:r>
      <w:r>
        <w:rPr>
          <w:rFonts w:hint="default" w:ascii="Gotham Pro" w:hAnsi="Gotham Pro" w:cs="Gotham Pro"/>
          <w:bCs/>
          <w:sz w:val="24"/>
          <w:szCs w:val="24"/>
          <w:highlight w:val="none"/>
        </w:rPr>
        <w:t>.</w:t>
      </w:r>
    </w:p>
    <w:p>
      <w:pPr>
        <w:ind w:left="-13" w:leftChars="0" w:firstLine="13" w:firstLineChars="0"/>
        <w:jc w:val="both"/>
        <w:rPr>
          <w:rFonts w:ascii="Gotham Pro" w:hAnsi="Gotham Pro" w:cs="Gotham Pro"/>
        </w:rPr>
      </w:pPr>
    </w:p>
    <w:p>
      <w:pPr>
        <w:ind w:left="-13" w:leftChars="0" w:firstLine="13" w:firstLineChars="0"/>
        <w:jc w:val="both"/>
        <w:rPr>
          <w:rFonts w:ascii="Gotham Pro" w:hAnsi="Gotham Pro" w:cs="Gotham Pro"/>
          <w:lang w:eastAsia="ru-RU"/>
        </w:rPr>
      </w:pPr>
    </w:p>
    <w:p>
      <w:pPr>
        <w:pStyle w:val="11"/>
        <w:numPr>
          <w:ilvl w:val="1"/>
          <w:numId w:val="2"/>
        </w:numPr>
        <w:spacing w:line="276" w:lineRule="auto"/>
        <w:ind w:left="0" w:firstLine="567"/>
        <w:jc w:val="both"/>
        <w:rPr>
          <w:rFonts w:hint="default" w:ascii="Gotham Pro" w:hAnsi="Gotham Pro" w:cs="Gotham Pro"/>
          <w:b/>
          <w:bCs/>
          <w:sz w:val="24"/>
          <w:szCs w:val="24"/>
        </w:rPr>
      </w:pPr>
      <w:r>
        <w:rPr>
          <w:rFonts w:hint="default" w:ascii="Gotham Pro" w:hAnsi="Gotham Pro" w:cs="Gotham Pro"/>
          <w:b/>
          <w:bCs/>
          <w:sz w:val="24"/>
          <w:szCs w:val="24"/>
        </w:rPr>
        <w:t>Социальная инфраструктура</w:t>
      </w:r>
    </w:p>
    <w:p>
      <w:pPr>
        <w:pStyle w:val="11"/>
        <w:numPr>
          <w:ilvl w:val="2"/>
          <w:numId w:val="2"/>
        </w:numPr>
        <w:spacing w:line="276" w:lineRule="auto"/>
        <w:ind w:left="1" w:leftChars="0" w:firstLine="567" w:firstLineChars="0"/>
        <w:jc w:val="both"/>
        <w:rPr>
          <w:rFonts w:hint="default" w:ascii="Gotham Pro" w:hAnsi="Gotham Pro" w:cs="Gotham Pro"/>
          <w:b/>
          <w:bCs/>
          <w:sz w:val="24"/>
          <w:szCs w:val="24"/>
        </w:rPr>
      </w:pPr>
      <w:r>
        <w:rPr>
          <w:rFonts w:hint="default" w:ascii="Gotham Pro" w:hAnsi="Gotham Pro" w:cs="Gotham Pro"/>
          <w:b/>
          <w:bCs/>
          <w:sz w:val="24"/>
          <w:szCs w:val="24"/>
        </w:rPr>
        <w:t xml:space="preserve">Образование </w:t>
      </w:r>
    </w:p>
    <w:p>
      <w:pPr>
        <w:pStyle w:val="11"/>
        <w:spacing w:line="276" w:lineRule="auto"/>
        <w:ind w:firstLine="567"/>
        <w:jc w:val="both"/>
        <w:rPr>
          <w:rFonts w:ascii="Times New Roman" w:hAnsi="Times New Roman" w:cs="Times New Roman"/>
          <w:sz w:val="24"/>
          <w:szCs w:val="24"/>
        </w:rPr>
      </w:pPr>
    </w:p>
    <w:p>
      <w:pPr>
        <w:pStyle w:val="11"/>
        <w:jc w:val="center"/>
        <w:rPr>
          <w:rFonts w:hint="default" w:ascii="Gotham Pro" w:hAnsi="Gotham Pro" w:eastAsia="Times New Roman" w:cs="Gotham Pro"/>
          <w:sz w:val="20"/>
          <w:szCs w:val="20"/>
        </w:rPr>
      </w:pPr>
      <w:r>
        <w:rPr>
          <w:rFonts w:hint="default" w:ascii="Gotham Pro" w:hAnsi="Gotham Pro" w:cs="Gotham Pro"/>
          <w:sz w:val="20"/>
          <w:szCs w:val="20"/>
        </w:rPr>
        <w:t>Сведения об учреждениях образования в МО СП «Сосново-Озерское»</w:t>
      </w:r>
    </w:p>
    <w:p>
      <w:pPr>
        <w:pStyle w:val="11"/>
        <w:jc w:val="right"/>
        <w:rPr>
          <w:rFonts w:hint="default" w:ascii="Gotham Pro" w:hAnsi="Gotham Pro" w:cs="Gotham Pro"/>
          <w:sz w:val="20"/>
          <w:szCs w:val="20"/>
        </w:rPr>
      </w:pPr>
      <w:r>
        <w:rPr>
          <w:rFonts w:hint="default" w:ascii="Gotham Pro" w:hAnsi="Gotham Pro" w:cs="Gotham Pro"/>
          <w:sz w:val="20"/>
          <w:szCs w:val="20"/>
        </w:rPr>
        <w:t>таблица 1.4.1.-1</w:t>
      </w:r>
    </w:p>
    <w:tbl>
      <w:tblPr>
        <w:tblStyle w:val="3"/>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773"/>
        <w:gridCol w:w="2240"/>
        <w:gridCol w:w="4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430"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Наименование</w:t>
            </w:r>
            <w:r>
              <w:rPr>
                <w:rFonts w:hint="default" w:ascii="Gotham Pro" w:hAnsi="Gotham Pro" w:cs="Gotham Pro"/>
                <w:sz w:val="20"/>
                <w:szCs w:val="20"/>
              </w:rPr>
              <w:t xml:space="preserve"> </w:t>
            </w:r>
            <w:r>
              <w:rPr>
                <w:rFonts w:hint="default" w:ascii="Gotham Pro" w:hAnsi="Gotham Pro" w:cs="Gotham Pro"/>
                <w:sz w:val="20"/>
                <w:szCs w:val="20"/>
                <w:lang w:val="en-US"/>
              </w:rPr>
              <w:t>учреждения</w:t>
            </w:r>
          </w:p>
        </w:tc>
        <w:tc>
          <w:tcPr>
            <w:tcW w:w="11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Местоположение</w:t>
            </w:r>
          </w:p>
        </w:tc>
        <w:tc>
          <w:tcPr>
            <w:tcW w:w="241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Сведения</w:t>
            </w:r>
            <w:r>
              <w:rPr>
                <w:rFonts w:hint="default" w:ascii="Gotham Pro" w:hAnsi="Gotham Pro" w:cs="Gotham Pro"/>
                <w:sz w:val="20"/>
                <w:szCs w:val="20"/>
              </w:rPr>
              <w:t xml:space="preserve"> </w:t>
            </w:r>
            <w:r>
              <w:rPr>
                <w:rFonts w:hint="default" w:ascii="Gotham Pro" w:hAnsi="Gotham Pro" w:cs="Gotham Pro"/>
                <w:sz w:val="20"/>
                <w:szCs w:val="20"/>
                <w:lang w:val="en-US"/>
              </w:rPr>
              <w:t>о</w:t>
            </w:r>
            <w:r>
              <w:rPr>
                <w:rFonts w:hint="default" w:ascii="Gotham Pro" w:hAnsi="Gotham Pro" w:cs="Gotham Pro"/>
                <w:sz w:val="20"/>
                <w:szCs w:val="20"/>
              </w:rPr>
              <w:t>б учреждении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430" w:type="pct"/>
            <w:shd w:val="clear" w:color="auto" w:fill="auto"/>
          </w:tcPr>
          <w:p>
            <w:pPr>
              <w:pStyle w:val="14"/>
              <w:ind w:left="0" w:leftChars="0" w:firstLine="0" w:firstLineChars="0"/>
              <w:jc w:val="center"/>
              <w:rPr>
                <w:sz w:val="22"/>
                <w:szCs w:val="22"/>
              </w:rPr>
            </w:pPr>
            <w:r>
              <w:rPr>
                <w:sz w:val="22"/>
                <w:szCs w:val="22"/>
              </w:rPr>
              <w:t>1</w:t>
            </w:r>
          </w:p>
        </w:tc>
        <w:tc>
          <w:tcPr>
            <w:tcW w:w="1155" w:type="pct"/>
            <w:shd w:val="clear" w:color="auto" w:fill="auto"/>
          </w:tcPr>
          <w:p>
            <w:pPr>
              <w:pStyle w:val="14"/>
              <w:ind w:left="0" w:leftChars="0" w:firstLine="0" w:firstLineChars="0"/>
              <w:jc w:val="center"/>
              <w:rPr>
                <w:sz w:val="22"/>
                <w:szCs w:val="22"/>
              </w:rPr>
            </w:pPr>
            <w:r>
              <w:rPr>
                <w:sz w:val="22"/>
                <w:szCs w:val="22"/>
              </w:rPr>
              <w:t>2</w:t>
            </w:r>
          </w:p>
        </w:tc>
        <w:tc>
          <w:tcPr>
            <w:tcW w:w="2413" w:type="pct"/>
            <w:shd w:val="clear" w:color="auto" w:fill="auto"/>
          </w:tcPr>
          <w:p>
            <w:pPr>
              <w:pStyle w:val="14"/>
              <w:ind w:left="0" w:leftChars="0" w:firstLine="0" w:firstLineChars="0"/>
              <w:jc w:val="center"/>
              <w:rPr>
                <w:sz w:val="22"/>
                <w:szCs w:val="22"/>
              </w:rPr>
            </w:pPr>
            <w:r>
              <w:rPr>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Дошкольные учреждения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автономное дошкольное образовательное учреждение «Сосново-Озерский детский сад «Белочка»</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671430, Республика Бурятия, Еравнинский район, </w:t>
            </w:r>
          </w:p>
          <w:p>
            <w:pPr>
              <w:pStyle w:val="11"/>
              <w:jc w:val="both"/>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Нагорная, 6</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Располагается в помещении площадью 498,9 кв.м. проектной мощностью на 53 мест. Площадь земельного участка составляет 3429 м</w:t>
            </w:r>
            <w:r>
              <w:rPr>
                <w:rFonts w:hint="default" w:ascii="Gotham Pro" w:hAnsi="Gotham Pro" w:cs="Gotham Pro"/>
                <w:sz w:val="20"/>
                <w:szCs w:val="20"/>
                <w:vertAlign w:val="superscript"/>
              </w:rPr>
              <w:t>2</w:t>
            </w:r>
            <w:r>
              <w:rPr>
                <w:rFonts w:hint="default" w:ascii="Gotham Pro" w:hAnsi="Gotham Pro" w:cs="Gotham Pro"/>
                <w:sz w:val="20"/>
                <w:szCs w:val="20"/>
              </w:rPr>
              <w:t>.</w:t>
            </w:r>
          </w:p>
          <w:p>
            <w:pPr>
              <w:pStyle w:val="11"/>
              <w:jc w:val="both"/>
              <w:rPr>
                <w:rFonts w:hint="default" w:ascii="Gotham Pro" w:hAnsi="Gotham Pro" w:cs="Gotham Pro"/>
                <w:sz w:val="20"/>
                <w:szCs w:val="20"/>
              </w:rPr>
            </w:pPr>
            <w:r>
              <w:rPr>
                <w:rFonts w:hint="default" w:ascii="Gotham Pro" w:hAnsi="Gotham Pro" w:cs="Gotham Pro"/>
                <w:sz w:val="20"/>
                <w:szCs w:val="20"/>
              </w:rPr>
              <w:t xml:space="preserve">В детском саду имеются кабинет заведующей, медицинский кабинет, 3 групповых комнаты, 3 раздевальные, 3санузла, пищеблок, 2 прачечные. На участке находятся игровые площадки на каждую группу, котельная.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Фактическая посещаемость – 60 ребенка.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автономное дошкольное образовательное учреждение «Сосново-Озерский детский сад «Золотой ключик»</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671430, Республика Бурятия, Еравнинский район, с. 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ул.Первомайская, 131</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Детский сад расположен в приспособленном здании, имеет 7 групповых комнат, методический кабинет, сенсорный кабинет, детские площадки.</w:t>
            </w:r>
          </w:p>
          <w:p>
            <w:pPr>
              <w:pStyle w:val="11"/>
              <w:jc w:val="both"/>
              <w:rPr>
                <w:rFonts w:hint="default" w:ascii="Gotham Pro" w:hAnsi="Gotham Pro" w:cs="Gotham Pro"/>
                <w:sz w:val="20"/>
                <w:szCs w:val="20"/>
              </w:rPr>
            </w:pPr>
            <w:r>
              <w:rPr>
                <w:rFonts w:hint="default" w:ascii="Gotham Pro" w:hAnsi="Gotham Pro" w:cs="Gotham Pro"/>
                <w:sz w:val="20"/>
                <w:szCs w:val="20"/>
              </w:rPr>
              <w:t>Проектная мощность  - 139 места. Фактическая посещаемость – 167 детей.</w:t>
            </w:r>
          </w:p>
          <w:p>
            <w:pPr>
              <w:pStyle w:val="11"/>
              <w:jc w:val="both"/>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автономное дошкольное образовательное учреждение детский сад «Радуга»</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671430, Республика Бурятия, Еравнинский район, с. Сосново-Озерское,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Школьная, 29Б</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Материально-техническое оснащение и оборудование, пространственная организация среды ДОУ соответствуют санитарно-гигиеническим требованиям.</w:t>
            </w:r>
          </w:p>
          <w:p>
            <w:pPr>
              <w:pStyle w:val="11"/>
              <w:jc w:val="both"/>
              <w:rPr>
                <w:rFonts w:hint="default" w:ascii="Gotham Pro" w:hAnsi="Gotham Pro" w:cs="Gotham Pro"/>
                <w:sz w:val="20"/>
                <w:szCs w:val="20"/>
              </w:rPr>
            </w:pPr>
            <w:r>
              <w:rPr>
                <w:rFonts w:hint="default" w:ascii="Gotham Pro" w:hAnsi="Gotham Pro" w:cs="Gotham Pro"/>
                <w:sz w:val="20"/>
                <w:szCs w:val="20"/>
              </w:rPr>
              <w:t>Медицинский блок включает в себямедицинский кабинет, процедурный кабинет, изолятор на 2 места. Функционируют 6 оборудованных групповых комнат, 1 музыкальный зал, 1 спортивный зал, на территории - оборудованные детские площадки, кабинеты заведующей, кабинет завхоза, методический, пищеблок, прачечная, кладовые и др.</w:t>
            </w:r>
          </w:p>
          <w:p>
            <w:pPr>
              <w:pStyle w:val="11"/>
              <w:jc w:val="both"/>
              <w:rPr>
                <w:rFonts w:hint="default" w:ascii="Gotham Pro" w:hAnsi="Gotham Pro" w:cs="Gotham Pro"/>
                <w:sz w:val="20"/>
                <w:szCs w:val="20"/>
              </w:rPr>
            </w:pPr>
            <w:r>
              <w:rPr>
                <w:rFonts w:hint="default" w:ascii="Gotham Pro" w:hAnsi="Gotham Pro" w:cs="Gotham Pro"/>
                <w:sz w:val="20"/>
                <w:szCs w:val="20"/>
              </w:rPr>
              <w:t>Проектная мощность – 150 мест.</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FFFFF"/>
              </w:rPr>
              <w:t>Общая численность обучающихся – 150 ребенка.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бюджетное дошкольное образовательное учреждение «Сосново-Озерский детский сад» «Ласточка»</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671430, Республика Бурятия,Еравнинский район, </w:t>
            </w:r>
          </w:p>
          <w:p>
            <w:pPr>
              <w:pStyle w:val="11"/>
              <w:jc w:val="both"/>
              <w:rPr>
                <w:rFonts w:hint="default" w:ascii="Gotham Pro" w:hAnsi="Gotham Pro" w:cs="Gotham Pro"/>
                <w:sz w:val="20"/>
                <w:szCs w:val="20"/>
              </w:rPr>
            </w:pPr>
            <w:r>
              <w:rPr>
                <w:rFonts w:hint="default" w:ascii="Gotham Pro" w:hAnsi="Gotham Pro" w:cs="Gotham Pro"/>
                <w:sz w:val="20"/>
                <w:szCs w:val="20"/>
              </w:rPr>
              <w:t>с.Сосново-Озерское,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ул.Ринчин-Доржиева,16</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Располагается в помещении площадью  487,9 м</w:t>
            </w:r>
            <w:r>
              <w:rPr>
                <w:rFonts w:hint="default" w:ascii="Gotham Pro" w:hAnsi="Gotham Pro" w:cs="Gotham Pro"/>
                <w:sz w:val="20"/>
                <w:szCs w:val="20"/>
                <w:vertAlign w:val="superscript"/>
              </w:rPr>
              <w:t>2</w:t>
            </w:r>
            <w:r>
              <w:rPr>
                <w:rFonts w:hint="default" w:ascii="Gotham Pro" w:hAnsi="Gotham Pro" w:cs="Gotham Pro"/>
                <w:sz w:val="20"/>
                <w:szCs w:val="20"/>
              </w:rPr>
              <w:t xml:space="preserve"> проектной мощностью на 71 мест.  Площадь территории составляет   5569 м</w:t>
            </w:r>
            <w:r>
              <w:rPr>
                <w:rFonts w:hint="default" w:ascii="Gotham Pro" w:hAnsi="Gotham Pro" w:cs="Gotham Pro"/>
                <w:sz w:val="20"/>
                <w:szCs w:val="20"/>
                <w:vertAlign w:val="superscript"/>
              </w:rPr>
              <w:t>2</w:t>
            </w:r>
            <w:r>
              <w:rPr>
                <w:rFonts w:hint="default" w:ascii="Gotham Pro" w:hAnsi="Gotham Pro" w:cs="Gotham Pro"/>
                <w:sz w:val="20"/>
                <w:szCs w:val="20"/>
              </w:rPr>
              <w:t>.</w:t>
            </w:r>
          </w:p>
          <w:p>
            <w:pPr>
              <w:pStyle w:val="11"/>
              <w:jc w:val="both"/>
              <w:rPr>
                <w:rFonts w:hint="default" w:ascii="Gotham Pro" w:hAnsi="Gotham Pro" w:cs="Gotham Pro"/>
                <w:sz w:val="20"/>
                <w:szCs w:val="20"/>
              </w:rPr>
            </w:pPr>
            <w:r>
              <w:rPr>
                <w:rFonts w:hint="default" w:ascii="Gotham Pro" w:hAnsi="Gotham Pro" w:cs="Gotham Pro"/>
                <w:sz w:val="20"/>
                <w:szCs w:val="20"/>
              </w:rPr>
              <w:t>В детском саду имеются специальные помещения: кабинет заведующего – 1, медицинский кабинет -1, групповые комнаты – 3 ( младшая, средняя, старшая, спальные комнаты – 3, туалетные комнаты  - 3, раздевальные -3, пищеблок-1, прачечная -1, оборудованное место с компьютером для воспитателей -3. На территории детского сада находятся: игровые площадки для каждой группы, участок для ознакомления детей с природой (сад, цветник, огород), котельная.</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Общая численность обучающихся – 80 детей.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Общеобразовательные учреждения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бюджетное образовательное учреждение «Сосново-Озерская средняя общеобразовательная школа № 1»</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671430, Республика Бурятия, Еравнинский район, с. 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ул.Матросова, 46</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Школа расположена на земельном участке 03:05:100158:12 площадью 2,6 га. В школе имеется 24 кабинета. Проектная мощность – 450 чел.</w:t>
            </w:r>
          </w:p>
          <w:p>
            <w:pPr>
              <w:pStyle w:val="11"/>
              <w:jc w:val="both"/>
              <w:rPr>
                <w:rFonts w:hint="default" w:ascii="Gotham Pro" w:hAnsi="Gotham Pro" w:cs="Gotham Pro"/>
                <w:sz w:val="20"/>
                <w:szCs w:val="20"/>
              </w:rPr>
            </w:pPr>
            <w:r>
              <w:rPr>
                <w:rFonts w:hint="default" w:ascii="Gotham Pro" w:hAnsi="Gotham Pro" w:cs="Gotham Pro"/>
                <w:sz w:val="20"/>
                <w:szCs w:val="20"/>
              </w:rPr>
              <w:t>Фактическая посещаемость – 632 чел.</w:t>
            </w:r>
          </w:p>
          <w:p>
            <w:pPr>
              <w:pStyle w:val="11"/>
              <w:jc w:val="both"/>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бюджетное общеобразовательное учреждение «Сосново-Озерская средняя общеобразовательная школа № 2»</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671430, Республика Бурятия, Еравнинский район, с.Сосново-Озерское,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ул.Первомайская, 102</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МБОУ «СОСОШ № 2 расположена в трехэтажном здании, построенном в 1984 году, введена в эксплуатацию 1986 году, общая площадь которого 3423,27 кв. м. Территория школы имеет строительное ограждение. Въезды и входы на территорию школы имеют твердое покрытие. По периметру здания предусмотрено наружное электрическое освещение. Здание подключено к центральной котельной МУП «Еравнинское МОП ЖКХ». В школе установлена автоматическая пожарная сигнализация с системой пожарного мониторинга для передачи извещений о срабатывании систем пожарной сигнализации, «тревожная» кнопка.</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Школа рассчитана на 624 места, фактически обучается 566 учащихся. Занятия проводятся в две смены.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Учреждения дополнительного образования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бюджетное образовательное учреждение дополнительного образования «Центр детского творчества»</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671430, Республика Бурятия,Еравнинский район, с. Сосново-Озерское,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Первомайская, 137</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Реализуемые образовательные программы:</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общеразвивающая программа дополнительного образования «Фантазия»; (смотреть подробнее)</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общеразвивающая программа «Юный этнограф»;</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общеразвивающая программа «3D-моделирование»;</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общеобразовательная общеразвивающая программа «Скейтчинг для детей»;</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образовательная программа «Арюухан» (кройка и шитьё национальной одежды);</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образовательная программа «Угалза»;</w:t>
            </w:r>
          </w:p>
          <w:p>
            <w:pPr>
              <w:pStyle w:val="11"/>
              <w:jc w:val="both"/>
              <w:rPr>
                <w:rFonts w:hint="default" w:ascii="Gotham Pro" w:hAnsi="Gotham Pro" w:cs="Gotham Pro"/>
                <w:sz w:val="20"/>
                <w:szCs w:val="20"/>
              </w:rPr>
            </w:pPr>
            <w:r>
              <w:rPr>
                <w:rFonts w:hint="default" w:ascii="Gotham Pro" w:hAnsi="Gotham Pro" w:cs="Gotham Pro"/>
                <w:sz w:val="20"/>
                <w:szCs w:val="20"/>
              </w:rPr>
              <w:t>- дополнительная образовательная программа «Багульник».</w:t>
            </w:r>
          </w:p>
          <w:p>
            <w:pPr>
              <w:pStyle w:val="11"/>
              <w:jc w:val="both"/>
              <w:rPr>
                <w:rFonts w:hint="default" w:ascii="Gotham Pro" w:hAnsi="Gotham Pro" w:cs="Gotham Pro"/>
                <w:sz w:val="20"/>
                <w:szCs w:val="20"/>
              </w:rPr>
            </w:pPr>
            <w:r>
              <w:rPr>
                <w:rFonts w:hint="default" w:ascii="Gotham Pro" w:hAnsi="Gotham Pro" w:cs="Gotham Pro"/>
                <w:sz w:val="20"/>
                <w:szCs w:val="20"/>
              </w:rPr>
              <w:t>Проектная мощность – 195 детей.</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Фактически данный центр посещают 532 ребенка. Занятия проводятся в разные смены.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автономное образовательное учреждение дополнительного образования «Детско-юношеская спортивная школа» Еравнинского района</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671430, Республика Бурятия, Еравнинский район, </w:t>
            </w:r>
          </w:p>
          <w:p>
            <w:pPr>
              <w:pStyle w:val="11"/>
              <w:jc w:val="both"/>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 ул. Василенко, 82</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МАОУ ДО «ДЮСШ» есть кабинеты для проведения практических занятий:</w:t>
            </w:r>
          </w:p>
          <w:p>
            <w:pPr>
              <w:pStyle w:val="11"/>
              <w:jc w:val="both"/>
              <w:rPr>
                <w:rFonts w:hint="default" w:ascii="Gotham Pro" w:hAnsi="Gotham Pro" w:cs="Gotham Pro"/>
                <w:sz w:val="20"/>
                <w:szCs w:val="20"/>
              </w:rPr>
            </w:pPr>
            <w:r>
              <w:rPr>
                <w:rFonts w:hint="default" w:ascii="Gotham Pro" w:hAnsi="Gotham Pro" w:cs="Gotham Pro"/>
                <w:sz w:val="20"/>
                <w:szCs w:val="20"/>
              </w:rPr>
              <w:t>1. Спортивный зал для игр волейбол.футбол, стрельба из лука, легкая атлетика,спортивной аэробики (размер 48м.х16м)</w:t>
            </w:r>
          </w:p>
          <w:p>
            <w:pPr>
              <w:pStyle w:val="11"/>
              <w:jc w:val="both"/>
              <w:rPr>
                <w:rFonts w:hint="default" w:ascii="Gotham Pro" w:hAnsi="Gotham Pro" w:cs="Gotham Pro"/>
                <w:sz w:val="20"/>
                <w:szCs w:val="20"/>
              </w:rPr>
            </w:pPr>
            <w:r>
              <w:rPr>
                <w:rFonts w:hint="default" w:ascii="Gotham Pro" w:hAnsi="Gotham Pro" w:cs="Gotham Pro"/>
                <w:sz w:val="20"/>
                <w:szCs w:val="20"/>
              </w:rPr>
              <w:t>2. Зал для гиревого спорта</w:t>
            </w:r>
          </w:p>
          <w:p>
            <w:pPr>
              <w:pStyle w:val="11"/>
              <w:jc w:val="both"/>
              <w:rPr>
                <w:rFonts w:hint="default" w:ascii="Gotham Pro" w:hAnsi="Gotham Pro" w:cs="Gotham Pro"/>
                <w:sz w:val="20"/>
                <w:szCs w:val="20"/>
              </w:rPr>
            </w:pPr>
            <w:r>
              <w:rPr>
                <w:rFonts w:hint="default" w:ascii="Gotham Pro" w:hAnsi="Gotham Pro" w:cs="Gotham Pro"/>
                <w:sz w:val="20"/>
                <w:szCs w:val="20"/>
              </w:rPr>
              <w:t>3.Зал для бокса</w:t>
            </w:r>
          </w:p>
          <w:p>
            <w:pPr>
              <w:pStyle w:val="11"/>
              <w:jc w:val="both"/>
              <w:rPr>
                <w:rFonts w:hint="default" w:ascii="Gotham Pro" w:hAnsi="Gotham Pro" w:cs="Gotham Pro"/>
                <w:sz w:val="20"/>
                <w:szCs w:val="20"/>
              </w:rPr>
            </w:pPr>
            <w:r>
              <w:rPr>
                <w:rFonts w:hint="default" w:ascii="Gotham Pro" w:hAnsi="Gotham Pro" w:cs="Gotham Pro"/>
                <w:sz w:val="20"/>
                <w:szCs w:val="20"/>
              </w:rPr>
              <w:t>4. Зал для вольной борьбы</w:t>
            </w:r>
          </w:p>
          <w:p>
            <w:pPr>
              <w:pStyle w:val="11"/>
              <w:jc w:val="both"/>
              <w:rPr>
                <w:rFonts w:hint="default" w:ascii="Gotham Pro" w:hAnsi="Gotham Pro" w:cs="Gotham Pro"/>
                <w:sz w:val="20"/>
                <w:szCs w:val="20"/>
              </w:rPr>
            </w:pPr>
            <w:r>
              <w:rPr>
                <w:rFonts w:hint="default" w:ascii="Gotham Pro" w:hAnsi="Gotham Pro" w:cs="Gotham Pro"/>
                <w:sz w:val="20"/>
                <w:szCs w:val="20"/>
              </w:rPr>
              <w:t>5. Зал для занятий по шахматам</w:t>
            </w:r>
          </w:p>
          <w:p>
            <w:pPr>
              <w:pStyle w:val="11"/>
              <w:jc w:val="both"/>
              <w:rPr>
                <w:rFonts w:hint="default" w:ascii="Gotham Pro" w:hAnsi="Gotham Pro" w:cs="Gotham Pro"/>
                <w:sz w:val="20"/>
                <w:szCs w:val="20"/>
              </w:rPr>
            </w:pPr>
            <w:r>
              <w:rPr>
                <w:rFonts w:hint="default" w:ascii="Gotham Pro" w:hAnsi="Gotham Pro" w:cs="Gotham Pro"/>
                <w:sz w:val="20"/>
                <w:szCs w:val="20"/>
              </w:rPr>
              <w:t>6. Тренажерный зал</w:t>
            </w:r>
          </w:p>
          <w:p>
            <w:pPr>
              <w:pStyle w:val="11"/>
              <w:jc w:val="both"/>
              <w:rPr>
                <w:rFonts w:hint="default" w:ascii="Gotham Pro" w:hAnsi="Gotham Pro" w:cs="Gotham Pro"/>
                <w:sz w:val="20"/>
                <w:szCs w:val="20"/>
              </w:rPr>
            </w:pPr>
            <w:r>
              <w:rPr>
                <w:rFonts w:hint="default" w:ascii="Gotham Pro" w:hAnsi="Gotham Pro" w:cs="Gotham Pro"/>
                <w:sz w:val="20"/>
                <w:szCs w:val="20"/>
              </w:rPr>
              <w:t>7. Футбольной поле с легкоатлетической беговой дорожкой</w:t>
            </w:r>
          </w:p>
          <w:p>
            <w:pPr>
              <w:pStyle w:val="11"/>
              <w:jc w:val="both"/>
              <w:rPr>
                <w:rFonts w:hint="default" w:ascii="Gotham Pro" w:hAnsi="Gotham Pro" w:cs="Gotham Pro"/>
                <w:sz w:val="20"/>
                <w:szCs w:val="20"/>
              </w:rPr>
            </w:pPr>
            <w:r>
              <w:rPr>
                <w:rFonts w:hint="default" w:ascii="Gotham Pro" w:hAnsi="Gotham Pro" w:cs="Gotham Pro"/>
                <w:sz w:val="20"/>
                <w:szCs w:val="20"/>
              </w:rPr>
              <w:t>Здание спортивного комплекса МАОУ ДО «ДЮСШ» общей площадью 14067 кв.м.; земельный участок площадью 27 438кв.м.; стадион на 800 мест; беговые дорожки с тартановым покрытием; спортивная площадка для игры бакетбола и волейбола; спортивный комплекс (городок) ВФСК ГТО для сдачи нормативов.</w:t>
            </w:r>
          </w:p>
          <w:p>
            <w:pPr>
              <w:pStyle w:val="11"/>
              <w:jc w:val="both"/>
              <w:rPr>
                <w:rFonts w:hint="default" w:ascii="Gotham Pro" w:hAnsi="Gotham Pro" w:cs="Gotham Pro"/>
                <w:sz w:val="20"/>
                <w:szCs w:val="20"/>
              </w:rPr>
            </w:pPr>
            <w:r>
              <w:rPr>
                <w:rFonts w:hint="default" w:ascii="Gotham Pro" w:hAnsi="Gotham Pro" w:cs="Gotham Pro"/>
                <w:sz w:val="20"/>
                <w:szCs w:val="20"/>
              </w:rPr>
              <w:t>Проектная мощность 400 детей.</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 Фактическое посещение – 350 детей.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Учреждения высшего и среднего специального образования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eastAsia="Times New Roman" w:cs="Gotham Pro"/>
                <w:sz w:val="20"/>
                <w:szCs w:val="20"/>
              </w:rPr>
            </w:pPr>
            <w:r>
              <w:rPr>
                <w:rFonts w:hint="default" w:ascii="Gotham Pro" w:hAnsi="Gotham Pro" w:eastAsia="Times New Roman" w:cs="Gotham Pro"/>
                <w:sz w:val="20"/>
                <w:szCs w:val="20"/>
              </w:rPr>
              <w:t>Сосново-Озерский филиал</w:t>
            </w:r>
          </w:p>
          <w:p>
            <w:pPr>
              <w:pStyle w:val="11"/>
              <w:jc w:val="both"/>
              <w:rPr>
                <w:rFonts w:hint="default" w:ascii="Gotham Pro" w:hAnsi="Gotham Pro" w:cs="Gotham Pro" w:eastAsiaTheme="minorEastAsia"/>
                <w:sz w:val="20"/>
                <w:szCs w:val="20"/>
                <w:lang w:val="ru-RU" w:eastAsia="ru-RU" w:bidi="ar-SA"/>
              </w:rPr>
            </w:pP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FFFFF"/>
              </w:rPr>
              <w:t>671430, Республика Бурятия, Еравнинский район, село Сосново-Озерское, улица Бадеева, 11</w:t>
            </w:r>
          </w:p>
        </w:tc>
        <w:tc>
          <w:tcPr>
            <w:tcW w:w="2413" w:type="pct"/>
            <w:shd w:val="clear" w:color="auto" w:fill="auto"/>
            <w:vAlign w:val="top"/>
          </w:tcPr>
          <w:p>
            <w:pPr>
              <w:pStyle w:val="11"/>
              <w:jc w:val="both"/>
              <w:rPr>
                <w:rFonts w:hint="default" w:ascii="Gotham Pro" w:hAnsi="Gotham Pro" w:eastAsia="Times New Roman" w:cs="Gotham Pro"/>
                <w:sz w:val="20"/>
                <w:szCs w:val="20"/>
              </w:rPr>
            </w:pPr>
            <w:r>
              <w:rPr>
                <w:rFonts w:hint="default" w:ascii="Gotham Pro" w:hAnsi="Gotham Pro" w:eastAsia="Times New Roman" w:cs="Gotham Pro"/>
                <w:bCs/>
                <w:sz w:val="20"/>
                <w:szCs w:val="20"/>
              </w:rPr>
              <w:t>Сведения о материально-техническом обеспечении образовательной организации – </w:t>
            </w:r>
            <w:r>
              <w:rPr>
                <w:rFonts w:hint="default" w:ascii="Gotham Pro" w:hAnsi="Gotham Pro" w:eastAsia="Times New Roman" w:cs="Gotham Pro"/>
                <w:sz w:val="20"/>
                <w:szCs w:val="20"/>
              </w:rPr>
              <w:t>учебные кабинеты; слесарная мастерская, пункт технического обслуживания, учебный кулинарный и кондитерский цех, общежитие, столовая, гараж, библиотека; спортивный зал.</w:t>
            </w:r>
          </w:p>
          <w:p>
            <w:pPr>
              <w:pStyle w:val="11"/>
              <w:jc w:val="both"/>
              <w:rPr>
                <w:rFonts w:hint="default" w:ascii="Gotham Pro" w:hAnsi="Gotham Pro" w:eastAsia="Times New Roman" w:cs="Gotham Pro"/>
                <w:sz w:val="20"/>
                <w:szCs w:val="20"/>
              </w:rPr>
            </w:pPr>
            <w:r>
              <w:rPr>
                <w:rFonts w:hint="default" w:ascii="Gotham Pro" w:hAnsi="Gotham Pro" w:eastAsia="Times New Roman" w:cs="Gotham Pro"/>
                <w:bCs/>
                <w:sz w:val="20"/>
                <w:szCs w:val="20"/>
              </w:rPr>
              <w:t>Сведения о количестве оборудованных учебных кабинетов учреждения – </w:t>
            </w:r>
            <w:r>
              <w:rPr>
                <w:rFonts w:hint="default" w:ascii="Gotham Pro" w:hAnsi="Gotham Pro" w:eastAsia="Times New Roman" w:cs="Gotham Pro"/>
                <w:sz w:val="20"/>
                <w:szCs w:val="20"/>
              </w:rPr>
              <w:t>10 учебных кабинетов, из них 1 кабинет оборудован мультимедийным проектором.</w:t>
            </w:r>
          </w:p>
          <w:p>
            <w:pPr>
              <w:pStyle w:val="11"/>
              <w:jc w:val="both"/>
              <w:rPr>
                <w:rFonts w:hint="default" w:ascii="Gotham Pro" w:hAnsi="Gotham Pro" w:eastAsia="Times New Roman" w:cs="Gotham Pro"/>
                <w:sz w:val="20"/>
                <w:szCs w:val="20"/>
              </w:rPr>
            </w:pPr>
            <w:r>
              <w:rPr>
                <w:rFonts w:hint="default" w:ascii="Gotham Pro" w:hAnsi="Gotham Pro" w:eastAsia="Times New Roman" w:cs="Gotham Pro"/>
                <w:bCs/>
                <w:sz w:val="20"/>
                <w:szCs w:val="20"/>
              </w:rPr>
              <w:t>Сведения об объектах для проведения практических занятий – </w:t>
            </w:r>
            <w:r>
              <w:rPr>
                <w:rFonts w:hint="default" w:ascii="Gotham Pro" w:hAnsi="Gotham Pro" w:eastAsia="Times New Roman" w:cs="Gotham Pro"/>
                <w:sz w:val="20"/>
                <w:szCs w:val="20"/>
              </w:rPr>
              <w:t>слесарная мастерская, учебный кулинарный и кондитерский цех, пункт технического обслуживания</w:t>
            </w:r>
          </w:p>
          <w:p>
            <w:pPr>
              <w:pStyle w:val="11"/>
              <w:jc w:val="both"/>
              <w:rPr>
                <w:rFonts w:hint="default" w:ascii="Gotham Pro" w:hAnsi="Gotham Pro" w:eastAsia="Times New Roman" w:cs="Gotham Pro"/>
                <w:sz w:val="20"/>
                <w:szCs w:val="20"/>
              </w:rPr>
            </w:pPr>
            <w:r>
              <w:rPr>
                <w:rFonts w:hint="default" w:ascii="Gotham Pro" w:hAnsi="Gotham Pro" w:eastAsia="Times New Roman" w:cs="Gotham Pro"/>
                <w:bCs/>
                <w:sz w:val="20"/>
                <w:szCs w:val="20"/>
              </w:rPr>
              <w:t>Сведения о библиотеке – </w:t>
            </w:r>
            <w:r>
              <w:rPr>
                <w:rFonts w:hint="default" w:ascii="Gotham Pro" w:hAnsi="Gotham Pro" w:eastAsia="Times New Roman" w:cs="Gotham Pro"/>
                <w:sz w:val="20"/>
                <w:szCs w:val="20"/>
              </w:rPr>
              <w:t>1 отдел и читальный зал (на 12 посадочных мест).</w:t>
            </w:r>
          </w:p>
          <w:p>
            <w:pPr>
              <w:pStyle w:val="11"/>
              <w:jc w:val="both"/>
              <w:rPr>
                <w:rFonts w:hint="default" w:ascii="Gotham Pro" w:hAnsi="Gotham Pro" w:eastAsia="Times New Roman" w:cs="Gotham Pro"/>
                <w:sz w:val="20"/>
                <w:szCs w:val="20"/>
              </w:rPr>
            </w:pPr>
            <w:r>
              <w:rPr>
                <w:rFonts w:hint="default" w:ascii="Gotham Pro" w:hAnsi="Gotham Pro" w:eastAsia="Times New Roman" w:cs="Gotham Pro"/>
                <w:bCs/>
                <w:sz w:val="20"/>
                <w:szCs w:val="20"/>
              </w:rPr>
              <w:t>Сведения об объектах спорта – </w:t>
            </w:r>
            <w:r>
              <w:rPr>
                <w:rFonts w:hint="default" w:ascii="Gotham Pro" w:hAnsi="Gotham Pro" w:eastAsia="Times New Roman" w:cs="Gotham Pro"/>
                <w:sz w:val="20"/>
                <w:szCs w:val="20"/>
              </w:rPr>
              <w:t>спортивный зал </w:t>
            </w:r>
          </w:p>
          <w:p>
            <w:pPr>
              <w:pStyle w:val="11"/>
              <w:jc w:val="both"/>
              <w:rPr>
                <w:rFonts w:hint="default" w:ascii="Gotham Pro" w:hAnsi="Gotham Pro" w:cs="Gotham Pro" w:eastAsiaTheme="minorEastAsia"/>
                <w:sz w:val="20"/>
                <w:szCs w:val="20"/>
                <w:lang w:val="ru-RU" w:eastAsia="ru-RU" w:bidi="ar-SA"/>
              </w:rPr>
            </w:pPr>
          </w:p>
        </w:tc>
      </w:tr>
    </w:tbl>
    <w:p>
      <w:pPr>
        <w:ind w:left="-13" w:leftChars="0" w:firstLine="13" w:firstLineChars="0"/>
        <w:jc w:val="both"/>
        <w:rPr>
          <w:rFonts w:ascii="Gotham Pro" w:hAnsi="Gotham Pro" w:cs="Gotham Pro"/>
          <w:lang w:eastAsia="ru-RU"/>
        </w:rPr>
      </w:pPr>
    </w:p>
    <w:p>
      <w:pPr>
        <w:pStyle w:val="11"/>
        <w:numPr>
          <w:ilvl w:val="2"/>
          <w:numId w:val="2"/>
        </w:numPr>
        <w:spacing w:line="276" w:lineRule="auto"/>
        <w:ind w:left="1" w:leftChars="0" w:firstLine="567" w:firstLineChars="0"/>
        <w:jc w:val="both"/>
        <w:rPr>
          <w:rFonts w:hint="default" w:ascii="Gotham Pro" w:hAnsi="Gotham Pro" w:cs="Gotham Pro"/>
          <w:b/>
          <w:bCs/>
          <w:sz w:val="24"/>
          <w:szCs w:val="24"/>
        </w:rPr>
      </w:pPr>
      <w:r>
        <w:rPr>
          <w:rFonts w:hint="default" w:ascii="Gotham Pro" w:hAnsi="Gotham Pro" w:cs="Gotham Pro"/>
          <w:b/>
          <w:bCs/>
          <w:sz w:val="24"/>
          <w:szCs w:val="24"/>
        </w:rPr>
        <w:t>Здравоохранение</w:t>
      </w:r>
    </w:p>
    <w:p>
      <w:pPr>
        <w:pStyle w:val="11"/>
        <w:spacing w:line="276" w:lineRule="auto"/>
        <w:ind w:firstLine="567"/>
        <w:jc w:val="both"/>
        <w:rPr>
          <w:rFonts w:hint="default" w:ascii="Gotham Pro" w:hAnsi="Gotham Pro" w:cs="Gotham Pro"/>
          <w:sz w:val="24"/>
          <w:szCs w:val="24"/>
        </w:rPr>
      </w:pPr>
      <w:r>
        <w:rPr>
          <w:rFonts w:hint="default" w:ascii="Gotham Pro" w:hAnsi="Gotham Pro" w:cs="Gotham Pro"/>
          <w:sz w:val="24"/>
          <w:szCs w:val="24"/>
        </w:rPr>
        <w:t>Здравоохранение представлено структурными подразделениями государственного бюджетного учреждения здравоохранения «Еравнинская центральная районная больница (таблица 1.4.2.-1).</w:t>
      </w: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Учреждения здравоохранения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1.4.2.-1</w:t>
      </w:r>
    </w:p>
    <w:tbl>
      <w:tblPr>
        <w:tblStyle w:val="3"/>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764"/>
        <w:gridCol w:w="4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45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Наименование</w:t>
            </w:r>
            <w:r>
              <w:rPr>
                <w:rFonts w:hint="default" w:ascii="Gotham Pro" w:hAnsi="Gotham Pro" w:cs="Gotham Pro"/>
                <w:sz w:val="20"/>
                <w:szCs w:val="20"/>
              </w:rPr>
              <w:t xml:space="preserve"> </w:t>
            </w:r>
            <w:r>
              <w:rPr>
                <w:rFonts w:hint="default" w:ascii="Gotham Pro" w:hAnsi="Gotham Pro" w:cs="Gotham Pro"/>
                <w:sz w:val="20"/>
                <w:szCs w:val="20"/>
                <w:lang w:val="en-US"/>
              </w:rPr>
              <w:t>учреждения</w:t>
            </w:r>
          </w:p>
        </w:tc>
        <w:tc>
          <w:tcPr>
            <w:tcW w:w="254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Местоположение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457" w:type="pct"/>
            <w:shd w:val="clear" w:color="auto" w:fill="auto"/>
          </w:tcPr>
          <w:p>
            <w:pPr>
              <w:pStyle w:val="14"/>
              <w:ind w:left="0" w:leftChars="0" w:firstLine="0" w:firstLineChars="0"/>
              <w:jc w:val="center"/>
              <w:rPr>
                <w:sz w:val="22"/>
                <w:szCs w:val="22"/>
              </w:rPr>
            </w:pPr>
            <w:r>
              <w:rPr>
                <w:sz w:val="22"/>
                <w:szCs w:val="22"/>
              </w:rPr>
              <w:t>1</w:t>
            </w:r>
          </w:p>
        </w:tc>
        <w:tc>
          <w:tcPr>
            <w:tcW w:w="2542" w:type="pct"/>
            <w:shd w:val="clear" w:color="auto" w:fill="auto"/>
          </w:tcPr>
          <w:p>
            <w:pPr>
              <w:pStyle w:val="14"/>
              <w:ind w:left="0" w:leftChars="0" w:firstLine="0" w:firstLineChars="0"/>
              <w:jc w:val="center"/>
              <w:rPr>
                <w:sz w:val="22"/>
                <w:szCs w:val="22"/>
              </w:rPr>
            </w:pPr>
            <w:r>
              <w:rPr>
                <w:sz w:val="22"/>
                <w:szCs w:val="22"/>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ГБУЗ «Еравнинская ЦРБ»</w:t>
            </w:r>
          </w:p>
          <w:p>
            <w:pPr>
              <w:pStyle w:val="11"/>
              <w:jc w:val="both"/>
              <w:rPr>
                <w:rFonts w:hint="default" w:ascii="Gotham Pro" w:hAnsi="Gotham Pro" w:cs="Gotham Pro"/>
                <w:sz w:val="20"/>
                <w:szCs w:val="20"/>
              </w:rPr>
            </w:pPr>
          </w:p>
          <w:p>
            <w:pPr>
              <w:pStyle w:val="11"/>
              <w:jc w:val="both"/>
              <w:rPr>
                <w:rFonts w:hint="default" w:ascii="Gotham Pro" w:hAnsi="Gotham Pro" w:cs="Gotham Pro" w:eastAsiaTheme="minorEastAsia"/>
                <w:sz w:val="20"/>
                <w:szCs w:val="20"/>
                <w:lang w:val="ru-RU" w:eastAsia="ru-RU" w:bidi="ar-SA"/>
              </w:rPr>
            </w:pPr>
          </w:p>
        </w:tc>
        <w:tc>
          <w:tcPr>
            <w:tcW w:w="2542"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Еравнинский район, с. Сосново-Озерское,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 ул. Производственная, д. 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Поликлиника</w:t>
            </w:r>
          </w:p>
          <w:p>
            <w:pPr>
              <w:pStyle w:val="11"/>
              <w:jc w:val="both"/>
              <w:rPr>
                <w:rFonts w:hint="default" w:ascii="Gotham Pro" w:hAnsi="Gotham Pro" w:cs="Gotham Pro"/>
                <w:sz w:val="20"/>
                <w:szCs w:val="20"/>
              </w:rPr>
            </w:pPr>
          </w:p>
          <w:p>
            <w:pPr>
              <w:pStyle w:val="11"/>
              <w:jc w:val="both"/>
              <w:rPr>
                <w:rFonts w:hint="default" w:ascii="Gotham Pro" w:hAnsi="Gotham Pro" w:cs="Gotham Pro" w:eastAsiaTheme="minorEastAsia"/>
                <w:sz w:val="20"/>
                <w:szCs w:val="20"/>
                <w:lang w:val="ru-RU" w:eastAsia="ru-RU" w:bidi="ar-SA"/>
              </w:rPr>
            </w:pPr>
          </w:p>
        </w:tc>
        <w:tc>
          <w:tcPr>
            <w:tcW w:w="2542"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Еравнинский район, </w:t>
            </w:r>
          </w:p>
          <w:p>
            <w:pPr>
              <w:pStyle w:val="11"/>
              <w:jc w:val="both"/>
              <w:rPr>
                <w:rFonts w:hint="default" w:ascii="Gotham Pro" w:hAnsi="Gotham Pro" w:cs="Gotham Pro"/>
                <w:sz w:val="20"/>
                <w:szCs w:val="20"/>
              </w:rPr>
            </w:pPr>
            <w:r>
              <w:rPr>
                <w:rFonts w:hint="default" w:ascii="Gotham Pro" w:hAnsi="Gotham Pro" w:cs="Gotham Pro"/>
                <w:sz w:val="20"/>
                <w:szCs w:val="20"/>
              </w:rPr>
              <w:t xml:space="preserve">с. Сосново-Озерское,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Василенко, д.6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Детская консультация</w:t>
            </w:r>
          </w:p>
        </w:tc>
        <w:tc>
          <w:tcPr>
            <w:tcW w:w="2542"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Еравнинский район, с. Сосново-Озерское, ул. Производственная, д. 2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Стоматология</w:t>
            </w:r>
          </w:p>
          <w:p>
            <w:pPr>
              <w:pStyle w:val="11"/>
              <w:jc w:val="both"/>
              <w:rPr>
                <w:rFonts w:hint="default" w:ascii="Gotham Pro" w:hAnsi="Gotham Pro" w:cs="Gotham Pro"/>
                <w:sz w:val="20"/>
                <w:szCs w:val="20"/>
              </w:rPr>
            </w:pPr>
          </w:p>
          <w:p>
            <w:pPr>
              <w:pStyle w:val="11"/>
              <w:jc w:val="both"/>
              <w:rPr>
                <w:rFonts w:hint="default" w:ascii="Gotham Pro" w:hAnsi="Gotham Pro" w:cs="Gotham Pro" w:eastAsiaTheme="minorEastAsia"/>
                <w:sz w:val="20"/>
                <w:szCs w:val="20"/>
                <w:lang w:val="ru-RU" w:eastAsia="ru-RU" w:bidi="ar-SA"/>
              </w:rPr>
            </w:pPr>
          </w:p>
        </w:tc>
        <w:tc>
          <w:tcPr>
            <w:tcW w:w="2542"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Еравнинский район, с. Сосново-Озерское, ул. Производственная, д. 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Женская консультация</w:t>
            </w:r>
          </w:p>
        </w:tc>
        <w:tc>
          <w:tcPr>
            <w:tcW w:w="2542"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Еравнинский район, с. Сосново-Озерское, ул. Василенко, д.4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Фельдшерско-акушерский пункт</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 Гарам</w:t>
            </w:r>
          </w:p>
        </w:tc>
        <w:tc>
          <w:tcPr>
            <w:tcW w:w="2542"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Еравнинский район,</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 Гарам, ул. Орлова, дом №16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57"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Фельдшерско-акушерский пункт с. Домна</w:t>
            </w:r>
          </w:p>
        </w:tc>
        <w:tc>
          <w:tcPr>
            <w:tcW w:w="2542"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Еравнинский район, с. Домна, ул. Кузнечная, дом № 6</w:t>
            </w:r>
          </w:p>
        </w:tc>
      </w:tr>
    </w:tbl>
    <w:p>
      <w:pPr>
        <w:pStyle w:val="11"/>
        <w:spacing w:line="276" w:lineRule="auto"/>
        <w:ind w:left="0" w:leftChars="0" w:firstLine="440" w:firstLineChars="0"/>
        <w:jc w:val="right"/>
        <w:rPr>
          <w:rFonts w:ascii="Times New Roman" w:hAnsi="Times New Roman" w:cs="Times New Roman"/>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Основные направления стратегического развития МО «Еравнинский район» в сфере здравоохранения в соответствии со Стратегией социально-экономического развития муниципального образования «Еравнинский район» до 2035 г. изложены в таблице 1.4.2.-2.</w:t>
      </w:r>
    </w:p>
    <w:p>
      <w:pPr>
        <w:pStyle w:val="11"/>
        <w:spacing w:line="276" w:lineRule="auto"/>
        <w:ind w:firstLine="567"/>
        <w:jc w:val="both"/>
        <w:rPr>
          <w:rFonts w:ascii="Times New Roman" w:hAnsi="Times New Roman" w:cs="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Основные направления стратегического развития</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 МО «Еравнинский район»  в сфере здравоохранения</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1.4.2.-2</w:t>
      </w:r>
    </w:p>
    <w:tbl>
      <w:tblPr>
        <w:tblStyle w:val="3"/>
        <w:tblpPr w:leftFromText="180" w:rightFromText="180" w:vertAnchor="text" w:horzAnchor="page" w:tblpX="1414" w:tblpY="242"/>
        <w:tblOverlap w:val="never"/>
        <w:tblW w:w="510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210"/>
        <w:gridCol w:w="3588"/>
        <w:gridCol w:w="41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10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Направление</w:t>
            </w:r>
          </w:p>
        </w:tc>
        <w:tc>
          <w:tcPr>
            <w:tcW w:w="1800" w:type="pct"/>
            <w:shd w:val="clear" w:color="auto" w:fill="auto"/>
            <w:vAlign w:val="top"/>
          </w:tcPr>
          <w:p>
            <w:pPr>
              <w:pStyle w:val="11"/>
              <w:jc w:val="center"/>
              <w:rPr>
                <w:rFonts w:hint="default" w:ascii="Gotham Pro" w:hAnsi="Gotham Pro" w:eastAsia="Times New Roman" w:cs="Gotham Pro"/>
                <w:color w:val="000000"/>
                <w:sz w:val="20"/>
                <w:szCs w:val="20"/>
                <w:lang w:val="ru-RU" w:eastAsia="ru-RU" w:bidi="ar-SA"/>
              </w:rPr>
            </w:pPr>
            <w:r>
              <w:rPr>
                <w:rFonts w:hint="default" w:ascii="Gotham Pro" w:hAnsi="Gotham Pro" w:cs="Gotham Pro"/>
                <w:sz w:val="20"/>
                <w:szCs w:val="20"/>
              </w:rPr>
              <w:t>Цели</w:t>
            </w:r>
          </w:p>
        </w:tc>
        <w:tc>
          <w:tcPr>
            <w:tcW w:w="2090" w:type="pct"/>
            <w:shd w:val="clear" w:color="auto" w:fill="auto"/>
            <w:vAlign w:val="top"/>
          </w:tcPr>
          <w:p>
            <w:pPr>
              <w:pStyle w:val="11"/>
              <w:jc w:val="center"/>
              <w:rPr>
                <w:rFonts w:hint="default" w:ascii="Gotham Pro" w:hAnsi="Gotham Pro" w:eastAsia="Times New Roman" w:cs="Gotham Pro"/>
                <w:iCs/>
                <w:color w:val="000000"/>
                <w:sz w:val="20"/>
                <w:szCs w:val="20"/>
                <w:lang w:val="ru-RU" w:eastAsia="ru-RU" w:bidi="ar-SA"/>
              </w:rPr>
            </w:pPr>
            <w:r>
              <w:rPr>
                <w:rFonts w:hint="default" w:ascii="Gotham Pro" w:hAnsi="Gotham Pro" w:cs="Gotham Pro"/>
                <w:sz w:val="20"/>
                <w:szCs w:val="20"/>
              </w:rPr>
              <w:t>Задачи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108" w:type="pct"/>
            <w:shd w:val="clear" w:color="auto" w:fill="auto"/>
          </w:tcPr>
          <w:p>
            <w:pPr>
              <w:pStyle w:val="14"/>
              <w:ind w:left="0" w:leftChars="0" w:firstLine="0" w:firstLineChars="0"/>
              <w:jc w:val="center"/>
              <w:rPr>
                <w:sz w:val="22"/>
                <w:szCs w:val="22"/>
              </w:rPr>
            </w:pPr>
            <w:r>
              <w:rPr>
                <w:sz w:val="22"/>
                <w:szCs w:val="22"/>
              </w:rPr>
              <w:t>1</w:t>
            </w:r>
          </w:p>
        </w:tc>
        <w:tc>
          <w:tcPr>
            <w:tcW w:w="1800" w:type="pct"/>
            <w:shd w:val="clear" w:color="auto" w:fill="auto"/>
          </w:tcPr>
          <w:p>
            <w:pPr>
              <w:pStyle w:val="14"/>
              <w:ind w:left="0" w:leftChars="0" w:firstLine="0" w:firstLineChars="0"/>
              <w:jc w:val="center"/>
              <w:rPr>
                <w:sz w:val="22"/>
                <w:szCs w:val="22"/>
              </w:rPr>
            </w:pPr>
            <w:r>
              <w:rPr>
                <w:sz w:val="22"/>
                <w:szCs w:val="22"/>
              </w:rPr>
              <w:t>2</w:t>
            </w:r>
          </w:p>
        </w:tc>
        <w:tc>
          <w:tcPr>
            <w:tcW w:w="2090" w:type="pct"/>
            <w:shd w:val="clear" w:color="auto" w:fill="auto"/>
          </w:tcPr>
          <w:p>
            <w:pPr>
              <w:pStyle w:val="14"/>
              <w:ind w:left="0" w:leftChars="0" w:firstLine="0" w:firstLineChars="0"/>
              <w:jc w:val="center"/>
              <w:rPr>
                <w:sz w:val="22"/>
                <w:szCs w:val="22"/>
              </w:rPr>
            </w:pPr>
            <w:r>
              <w:rPr>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108" w:type="pct"/>
            <w:shd w:val="clear" w:color="auto" w:fill="auto"/>
            <w:vAlign w:val="top"/>
          </w:tcPr>
          <w:p>
            <w:pPr>
              <w:pStyle w:val="11"/>
              <w:rPr>
                <w:rFonts w:hint="default" w:ascii="Gotham Pro" w:hAnsi="Gotham Pro" w:eastAsia="Times New Roman" w:cs="Gotham Pro"/>
                <w:color w:val="000000"/>
                <w:sz w:val="20"/>
                <w:szCs w:val="20"/>
                <w:lang w:val="ru-RU" w:eastAsia="ru-RU" w:bidi="ar-SA"/>
              </w:rPr>
            </w:pPr>
            <w:r>
              <w:rPr>
                <w:rFonts w:hint="default" w:ascii="Gotham Pro" w:hAnsi="Gotham Pro" w:eastAsia="Times New Roman" w:cs="Gotham Pro"/>
                <w:sz w:val="20"/>
                <w:szCs w:val="20"/>
              </w:rPr>
              <w:t xml:space="preserve">Здравоохранение </w:t>
            </w:r>
          </w:p>
        </w:tc>
        <w:tc>
          <w:tcPr>
            <w:tcW w:w="1800" w:type="pct"/>
            <w:shd w:val="clear" w:color="auto" w:fill="auto"/>
            <w:vAlign w:val="top"/>
          </w:tcPr>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1.Увеличение продолжительности и повышение качества жизни населения путем сохранения и укрепления здоровья населения.</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2.Обеспечение доступной лекарственной помощи населению путем внедрения рациональных моделей предоставления льготной и бесплатной  лекарственной помощи, в том числе при заболеваниях социального характера, проведение государственных закупок лекарственных средств за счет  средств бюджета на конкурсной основе.</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 xml:space="preserve">3.Наличие квалифицированных сотрудников, обладающих </w:t>
            </w:r>
          </w:p>
          <w:p>
            <w:pPr>
              <w:pStyle w:val="11"/>
              <w:jc w:val="both"/>
              <w:rPr>
                <w:rFonts w:hint="default" w:ascii="Gotham Pro" w:hAnsi="Gotham Pro" w:eastAsia="Times New Roman" w:cs="Gotham Pro"/>
                <w:color w:val="000000"/>
                <w:sz w:val="20"/>
                <w:szCs w:val="20"/>
              </w:rPr>
            </w:pPr>
          </w:p>
          <w:p>
            <w:pPr>
              <w:pStyle w:val="11"/>
              <w:jc w:val="both"/>
              <w:rPr>
                <w:rFonts w:hint="default" w:ascii="Gotham Pro" w:hAnsi="Gotham Pro" w:eastAsia="Times New Roman" w:cs="Gotham Pro"/>
                <w:color w:val="000000"/>
                <w:sz w:val="20"/>
                <w:szCs w:val="20"/>
              </w:rPr>
            </w:pPr>
          </w:p>
          <w:p>
            <w:pPr>
              <w:pStyle w:val="11"/>
              <w:jc w:val="both"/>
              <w:rPr>
                <w:rFonts w:hint="default" w:ascii="Gotham Pro" w:hAnsi="Gotham Pro" w:eastAsia="Times New Roman" w:cs="Gotham Pro"/>
                <w:color w:val="000000"/>
                <w:sz w:val="20"/>
                <w:szCs w:val="20"/>
              </w:rPr>
            </w:pP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специализированными знаниями.</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4.Создание единой государственной электронной информационной системы.</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5.Расширение открытого диалога с гражданским обществом, развитие общественного контроля.</w:t>
            </w:r>
          </w:p>
          <w:p>
            <w:pPr>
              <w:pStyle w:val="11"/>
              <w:jc w:val="both"/>
              <w:rPr>
                <w:rFonts w:hint="default" w:ascii="Gotham Pro" w:hAnsi="Gotham Pro" w:eastAsia="Times New Roman" w:cs="Gotham Pro"/>
                <w:iCs/>
                <w:color w:val="000000"/>
                <w:sz w:val="20"/>
                <w:szCs w:val="20"/>
                <w:lang w:val="ru-RU" w:eastAsia="ru-RU" w:bidi="ar-SA"/>
              </w:rPr>
            </w:pPr>
            <w:r>
              <w:rPr>
                <w:rFonts w:hint="default" w:ascii="Gotham Pro" w:hAnsi="Gotham Pro" w:eastAsia="Times New Roman" w:cs="Gotham Pro"/>
                <w:color w:val="000000"/>
                <w:sz w:val="20"/>
                <w:szCs w:val="20"/>
              </w:rPr>
              <w:t>6. Внедрение системы независимой оценки качества работы медицинских организаций.</w:t>
            </w:r>
          </w:p>
        </w:tc>
        <w:tc>
          <w:tcPr>
            <w:tcW w:w="2090" w:type="pct"/>
            <w:shd w:val="clear" w:color="auto" w:fill="auto"/>
            <w:vAlign w:val="top"/>
          </w:tcPr>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iCs/>
                <w:color w:val="000000"/>
                <w:sz w:val="20"/>
                <w:szCs w:val="20"/>
              </w:rPr>
              <w:t>1.</w:t>
            </w:r>
            <w:r>
              <w:rPr>
                <w:rFonts w:hint="default" w:ascii="Gotham Pro" w:hAnsi="Gotham Pro" w:eastAsia="Times New Roman" w:cs="Gotham Pro"/>
                <w:color w:val="000000"/>
                <w:sz w:val="20"/>
                <w:szCs w:val="20"/>
              </w:rPr>
              <w:t>Профилактика неинфекционных заболеваний, в том числе формирование здорового образа жизни. Решение задач по качественным изменениям в здоровье населения  должно основываться на обеспечении приоритетности профилактики, системности и программно–целевом подходе, в междисциплинарном и межведомственном взаимодействии по изменению отношения человека к собственному здоровью, формированию у населения ответственного отношения к нему и изменению модели поведения, направленной на профилактику заболеваний.</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 xml:space="preserve">2. Совершенствование системы управления скорой медицинской </w:t>
            </w:r>
          </w:p>
          <w:p>
            <w:pPr>
              <w:pStyle w:val="11"/>
              <w:jc w:val="both"/>
              <w:rPr>
                <w:rFonts w:hint="default" w:ascii="Gotham Pro" w:hAnsi="Gotham Pro" w:eastAsia="Times New Roman" w:cs="Gotham Pro"/>
                <w:color w:val="000000"/>
                <w:sz w:val="20"/>
                <w:szCs w:val="20"/>
              </w:rPr>
            </w:pPr>
          </w:p>
          <w:p>
            <w:pPr>
              <w:pStyle w:val="11"/>
              <w:jc w:val="both"/>
              <w:rPr>
                <w:rFonts w:hint="default" w:ascii="Gotham Pro" w:hAnsi="Gotham Pro" w:eastAsia="Times New Roman" w:cs="Gotham Pro"/>
                <w:color w:val="000000"/>
                <w:sz w:val="20"/>
                <w:szCs w:val="20"/>
              </w:rPr>
            </w:pPr>
          </w:p>
          <w:p>
            <w:pPr>
              <w:pStyle w:val="11"/>
              <w:jc w:val="both"/>
              <w:rPr>
                <w:rFonts w:hint="default" w:ascii="Gotham Pro" w:hAnsi="Gotham Pro" w:eastAsia="Times New Roman" w:cs="Gotham Pro"/>
                <w:color w:val="000000"/>
                <w:sz w:val="20"/>
                <w:szCs w:val="20"/>
              </w:rPr>
            </w:pP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помощи.</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3.Развитие специализированной медицинской помощи.</w:t>
            </w:r>
          </w:p>
          <w:p>
            <w:pPr>
              <w:pStyle w:val="11"/>
              <w:jc w:val="both"/>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4.Повышение доступности и качества специализированной медицинской помощи матерям и детям.</w:t>
            </w:r>
          </w:p>
          <w:p>
            <w:pPr>
              <w:pStyle w:val="11"/>
              <w:jc w:val="both"/>
              <w:rPr>
                <w:rFonts w:hint="default" w:ascii="Gotham Pro" w:hAnsi="Gotham Pro" w:eastAsia="Times New Roman" w:cs="Gotham Pro"/>
                <w:sz w:val="20"/>
                <w:szCs w:val="20"/>
                <w:lang w:val="ru-RU" w:eastAsia="ru-RU" w:bidi="ar-SA"/>
              </w:rPr>
            </w:pPr>
            <w:r>
              <w:rPr>
                <w:rFonts w:hint="default" w:ascii="Gotham Pro" w:hAnsi="Gotham Pro" w:eastAsia="Times New Roman" w:cs="Gotham Pro"/>
                <w:color w:val="000000"/>
                <w:sz w:val="20"/>
                <w:szCs w:val="20"/>
              </w:rPr>
              <w:t>5.Обеспечение населения лекарственными препаратами и медицинскими изделиями</w:t>
            </w:r>
          </w:p>
        </w:tc>
      </w:tr>
    </w:tbl>
    <w:p>
      <w:pPr>
        <w:ind w:left="-13" w:leftChars="0" w:firstLine="13" w:firstLineChars="0"/>
        <w:jc w:val="both"/>
        <w:rPr>
          <w:rFonts w:ascii="Gotham Pro" w:hAnsi="Gotham Pro" w:cs="Gotham Pro"/>
          <w:lang w:eastAsia="ru-RU"/>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39"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Культура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На территории поселения  функционируют следующие учреждения культуры:</w:t>
      </w:r>
    </w:p>
    <w:p>
      <w:pPr>
        <w:pStyle w:val="11"/>
        <w:spacing w:line="276" w:lineRule="auto"/>
        <w:ind w:left="142" w:firstLine="425"/>
        <w:jc w:val="both"/>
        <w:rPr>
          <w:rFonts w:hint="default" w:ascii="Gotham Pro" w:hAnsi="Gotham Pro" w:cs="Gotham Pro"/>
          <w:sz w:val="22"/>
          <w:szCs w:val="22"/>
        </w:rPr>
      </w:pPr>
    </w:p>
    <w:p>
      <w:pPr>
        <w:pStyle w:val="11"/>
        <w:jc w:val="center"/>
        <w:rPr>
          <w:rFonts w:hint="default" w:ascii="Gotham Pro" w:hAnsi="Gotham Pro" w:eastAsia="Times New Roman" w:cs="Gotham Pro"/>
          <w:sz w:val="20"/>
          <w:szCs w:val="20"/>
        </w:rPr>
      </w:pPr>
      <w:r>
        <w:rPr>
          <w:rFonts w:hint="default" w:ascii="Gotham Pro" w:hAnsi="Gotham Pro" w:cs="Gotham Pro"/>
          <w:sz w:val="20"/>
          <w:szCs w:val="20"/>
        </w:rPr>
        <w:t>Сведения об учреждениях  культуры в МО СП «Сосново-Озерское»</w:t>
      </w:r>
    </w:p>
    <w:p>
      <w:pPr>
        <w:pStyle w:val="11"/>
        <w:jc w:val="right"/>
        <w:rPr>
          <w:rFonts w:hint="default" w:ascii="Gotham Pro" w:hAnsi="Gotham Pro" w:cs="Gotham Pro"/>
          <w:sz w:val="20"/>
          <w:szCs w:val="20"/>
        </w:rPr>
      </w:pPr>
      <w:r>
        <w:rPr>
          <w:rFonts w:hint="default" w:ascii="Gotham Pro" w:hAnsi="Gotham Pro" w:cs="Gotham Pro"/>
          <w:sz w:val="20"/>
          <w:szCs w:val="20"/>
        </w:rPr>
        <w:t>таблица 1.4.3.-1</w:t>
      </w:r>
    </w:p>
    <w:tbl>
      <w:tblPr>
        <w:tblStyle w:val="3"/>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773"/>
        <w:gridCol w:w="2240"/>
        <w:gridCol w:w="46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430"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Наименование</w:t>
            </w:r>
            <w:r>
              <w:rPr>
                <w:rFonts w:hint="default" w:ascii="Gotham Pro" w:hAnsi="Gotham Pro" w:cs="Gotham Pro"/>
                <w:sz w:val="20"/>
                <w:szCs w:val="20"/>
              </w:rPr>
              <w:t xml:space="preserve"> </w:t>
            </w:r>
            <w:r>
              <w:rPr>
                <w:rFonts w:hint="default" w:ascii="Gotham Pro" w:hAnsi="Gotham Pro" w:cs="Gotham Pro"/>
                <w:sz w:val="20"/>
                <w:szCs w:val="20"/>
                <w:lang w:val="en-US"/>
              </w:rPr>
              <w:t>учреждения</w:t>
            </w:r>
          </w:p>
        </w:tc>
        <w:tc>
          <w:tcPr>
            <w:tcW w:w="11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Местоположение</w:t>
            </w:r>
          </w:p>
        </w:tc>
        <w:tc>
          <w:tcPr>
            <w:tcW w:w="241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rPr>
              <w:t>Сведения</w:t>
            </w:r>
            <w:r>
              <w:rPr>
                <w:rFonts w:hint="default" w:ascii="Gotham Pro" w:hAnsi="Gotham Pro" w:cs="Gotham Pro"/>
                <w:sz w:val="20"/>
                <w:szCs w:val="20"/>
              </w:rPr>
              <w:t xml:space="preserve"> </w:t>
            </w:r>
            <w:r>
              <w:rPr>
                <w:rFonts w:hint="default" w:ascii="Gotham Pro" w:hAnsi="Gotham Pro" w:cs="Gotham Pro"/>
                <w:sz w:val="20"/>
                <w:szCs w:val="20"/>
                <w:lang w:val="en-US"/>
              </w:rPr>
              <w:t>о</w:t>
            </w:r>
            <w:r>
              <w:rPr>
                <w:rFonts w:hint="default" w:ascii="Gotham Pro" w:hAnsi="Gotham Pro" w:cs="Gotham Pro"/>
                <w:sz w:val="20"/>
                <w:szCs w:val="20"/>
              </w:rPr>
              <w:t>б учреждении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430" w:type="pct"/>
            <w:shd w:val="clear" w:color="auto" w:fill="auto"/>
          </w:tcPr>
          <w:p>
            <w:pPr>
              <w:pStyle w:val="14"/>
              <w:ind w:left="0" w:leftChars="0" w:firstLine="0" w:firstLineChars="0"/>
              <w:jc w:val="center"/>
              <w:rPr>
                <w:sz w:val="22"/>
                <w:szCs w:val="22"/>
              </w:rPr>
            </w:pPr>
            <w:r>
              <w:rPr>
                <w:sz w:val="22"/>
                <w:szCs w:val="22"/>
              </w:rPr>
              <w:t>1</w:t>
            </w:r>
          </w:p>
        </w:tc>
        <w:tc>
          <w:tcPr>
            <w:tcW w:w="1155" w:type="pct"/>
            <w:shd w:val="clear" w:color="auto" w:fill="auto"/>
          </w:tcPr>
          <w:p>
            <w:pPr>
              <w:pStyle w:val="14"/>
              <w:ind w:left="0" w:leftChars="0" w:firstLine="0" w:firstLineChars="0"/>
              <w:jc w:val="center"/>
              <w:rPr>
                <w:sz w:val="22"/>
                <w:szCs w:val="22"/>
              </w:rPr>
            </w:pPr>
            <w:r>
              <w:rPr>
                <w:sz w:val="22"/>
                <w:szCs w:val="22"/>
              </w:rPr>
              <w:t>2</w:t>
            </w:r>
          </w:p>
        </w:tc>
        <w:tc>
          <w:tcPr>
            <w:tcW w:w="2413" w:type="pct"/>
            <w:shd w:val="clear" w:color="auto" w:fill="auto"/>
          </w:tcPr>
          <w:p>
            <w:pPr>
              <w:pStyle w:val="14"/>
              <w:ind w:left="0" w:leftChars="0" w:firstLine="0" w:firstLineChars="0"/>
              <w:jc w:val="center"/>
              <w:rPr>
                <w:sz w:val="22"/>
                <w:szCs w:val="22"/>
              </w:rPr>
            </w:pPr>
            <w:r>
              <w:rPr>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с. Сосново-Озерское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бюджетное учреждение культуры «Сосново-Озерский музей им. Ц.С. Сампилова»</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671430, Республика Бурятия, с. Сосново- Озерское, ул. Первомайская, д.115</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Площадь музея 193,8 м2, из них:</w:t>
            </w:r>
          </w:p>
          <w:p>
            <w:pPr>
              <w:pStyle w:val="11"/>
              <w:jc w:val="both"/>
              <w:rPr>
                <w:rFonts w:hint="default" w:ascii="Gotham Pro" w:hAnsi="Gotham Pro" w:cs="Gotham Pro"/>
                <w:sz w:val="20"/>
                <w:szCs w:val="20"/>
              </w:rPr>
            </w:pPr>
            <w:r>
              <w:rPr>
                <w:rFonts w:hint="default" w:ascii="Gotham Pro" w:hAnsi="Gotham Pro" w:cs="Gotham Pro"/>
                <w:sz w:val="20"/>
                <w:szCs w:val="20"/>
              </w:rPr>
              <w:t>159,7 м2 - экспозиционно-выставочная площадь;</w:t>
            </w:r>
          </w:p>
          <w:p>
            <w:pPr>
              <w:pStyle w:val="11"/>
              <w:jc w:val="both"/>
              <w:rPr>
                <w:rFonts w:hint="default" w:ascii="Gotham Pro" w:hAnsi="Gotham Pro" w:cs="Gotham Pro"/>
                <w:sz w:val="20"/>
                <w:szCs w:val="20"/>
              </w:rPr>
            </w:pPr>
            <w:r>
              <w:rPr>
                <w:rFonts w:hint="default" w:ascii="Gotham Pro" w:hAnsi="Gotham Pro" w:cs="Gotham Pro"/>
                <w:sz w:val="20"/>
                <w:szCs w:val="20"/>
              </w:rPr>
              <w:t>14,9 м2 - фондохранилище.</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Музей располагает собранием экспонатов – 2446 единиц основного фонда (живопись, графика, этнографическая, археологическая, нумизматическая коллекции, госнаграды, документальные материалы, фотографии), 324 единицы – вспомогательного фонда. Полностью коллекция музея составляет 2770 предметов.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автономное учреждение культуры «Сосново-Озерский районный культурно-досуговый центр»</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671430, Республика Бурятия, Еравнинский район, село Сосново-Озерское, улица Первомайская, 115</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Культурно-досуговый центр в селе Сосново-Озерское – это трехэтажное здание, в котором располагаются – музей имени Ц.С. Сампилова, кабинеты творческих работников, концертный зал, дискозал, а также кабинеты администрации.</w:t>
            </w:r>
          </w:p>
          <w:p>
            <w:pPr>
              <w:pStyle w:val="11"/>
              <w:jc w:val="both"/>
              <w:rPr>
                <w:rFonts w:hint="default" w:ascii="Gotham Pro" w:hAnsi="Gotham Pro" w:cs="Gotham Pro"/>
                <w:sz w:val="20"/>
                <w:szCs w:val="20"/>
              </w:rPr>
            </w:pPr>
            <w:r>
              <w:rPr>
                <w:rFonts w:hint="default" w:ascii="Gotham Pro" w:hAnsi="Gotham Pro" w:cs="Gotham Pro"/>
                <w:sz w:val="20"/>
                <w:szCs w:val="20"/>
              </w:rPr>
              <w:t>Общая площадь дома культуры составляет 1485 м</w:t>
            </w:r>
            <w:r>
              <w:rPr>
                <w:rFonts w:hint="default" w:ascii="Gotham Pro" w:hAnsi="Gotham Pro" w:cs="Gotham Pro"/>
                <w:sz w:val="20"/>
                <w:szCs w:val="20"/>
                <w:vertAlign w:val="superscript"/>
              </w:rPr>
              <w:t>2</w:t>
            </w:r>
            <w:r>
              <w:rPr>
                <w:rFonts w:hint="default" w:ascii="Gotham Pro" w:hAnsi="Gotham Pro" w:cs="Gotham Pro"/>
                <w:sz w:val="20"/>
                <w:szCs w:val="20"/>
              </w:rPr>
              <w:t>.</w:t>
            </w:r>
          </w:p>
          <w:p>
            <w:pPr>
              <w:pStyle w:val="11"/>
              <w:jc w:val="both"/>
              <w:rPr>
                <w:rFonts w:hint="default" w:ascii="Gotham Pro" w:hAnsi="Gotham Pro" w:cs="Gotham Pro"/>
                <w:sz w:val="20"/>
                <w:szCs w:val="20"/>
              </w:rPr>
            </w:pPr>
            <w:r>
              <w:rPr>
                <w:rFonts w:hint="default" w:ascii="Gotham Pro" w:hAnsi="Gotham Pro" w:cs="Gotham Pro"/>
                <w:sz w:val="20"/>
                <w:szCs w:val="20"/>
              </w:rPr>
              <w:t xml:space="preserve">В клубе проходят все районные мероприятия, открытые республиканские фестивали, конкурсы. Здесь работают 16 кружков для детей и взрослых. </w:t>
            </w:r>
          </w:p>
          <w:p>
            <w:pPr>
              <w:pStyle w:val="11"/>
              <w:jc w:val="both"/>
              <w:rPr>
                <w:rFonts w:hint="default" w:ascii="Gotham Pro" w:hAnsi="Gotham Pro" w:cs="Gotham Pro"/>
                <w:sz w:val="20"/>
                <w:szCs w:val="20"/>
              </w:rPr>
            </w:pPr>
            <w:r>
              <w:rPr>
                <w:rFonts w:hint="default" w:ascii="Gotham Pro" w:hAnsi="Gotham Pro" w:cs="Gotham Pro"/>
                <w:sz w:val="20"/>
                <w:szCs w:val="20"/>
              </w:rPr>
              <w:t>В 2019 году проведен капитальный ремонт, в ходе которого выполнены работы по ремонту крыши, фойе, а также проведен капитальный ремонт первого и третьего этажей.</w:t>
            </w:r>
          </w:p>
          <w:p>
            <w:pPr>
              <w:pStyle w:val="11"/>
              <w:jc w:val="both"/>
              <w:rPr>
                <w:rFonts w:hint="default" w:ascii="Gotham Pro" w:hAnsi="Gotham Pro" w:cs="Gotham Pro"/>
                <w:sz w:val="20"/>
                <w:szCs w:val="20"/>
              </w:rPr>
            </w:pPr>
            <w:r>
              <w:rPr>
                <w:rFonts w:hint="default" w:ascii="Gotham Pro" w:hAnsi="Gotham Pro" w:cs="Gotham Pro"/>
                <w:sz w:val="20"/>
                <w:szCs w:val="20"/>
              </w:rPr>
              <w:t>Приоритетным направлением учреждения МАУК «Сосново-Озерский РКДЦ» остаются – создание условий для формирования и удовлетворения культурных запросов, культурных потребностей и реализация творческого потенциала в сфере досуга населения, оказание методической и творческой помощи коллективам художественной самодеятельности и специалистам клубно-досуговой сферы района.</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Количество посадочных мест в зале – 341.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Улан-Еравнинский сельский дом культуры</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Республика Бурятия, Еравнинский район, с. Сосново-Озерское, ул. Ринчин-Доржиева</w:t>
            </w:r>
          </w:p>
        </w:tc>
        <w:tc>
          <w:tcPr>
            <w:tcW w:w="2413" w:type="pct"/>
            <w:shd w:val="clear" w:color="auto" w:fill="auto"/>
            <w:vAlign w:val="top"/>
          </w:tcPr>
          <w:p>
            <w:pPr>
              <w:pStyle w:val="11"/>
              <w:jc w:val="both"/>
              <w:rPr>
                <w:rFonts w:hint="default" w:ascii="Gotham Pro" w:hAnsi="Gotham Pro" w:cs="Gotham Pro"/>
                <w:sz w:val="20"/>
                <w:szCs w:val="20"/>
                <w:highlight w:val="none"/>
              </w:rPr>
            </w:pPr>
            <w:r>
              <w:rPr>
                <w:rFonts w:hint="default" w:ascii="Gotham Pro" w:hAnsi="Gotham Pro" w:cs="Gotham Pro"/>
                <w:sz w:val="20"/>
                <w:szCs w:val="20"/>
                <w:highlight w:val="none"/>
              </w:rPr>
              <w:t>Улан-Еравнинский сельский дом культуры – это деревянное, одноэтажное здание прямоугольной формы 17,35 на 11,35 метра, внутри оштукатуренное.</w:t>
            </w:r>
          </w:p>
          <w:p>
            <w:pPr>
              <w:pStyle w:val="11"/>
              <w:jc w:val="both"/>
              <w:rPr>
                <w:rFonts w:hint="default" w:ascii="Gotham Pro" w:hAnsi="Gotham Pro" w:cs="Gotham Pro"/>
                <w:sz w:val="20"/>
                <w:szCs w:val="20"/>
                <w:highlight w:val="none"/>
              </w:rPr>
            </w:pPr>
            <w:r>
              <w:rPr>
                <w:rFonts w:hint="default" w:ascii="Gotham Pro" w:hAnsi="Gotham Pro" w:cs="Gotham Pro"/>
                <w:sz w:val="20"/>
                <w:szCs w:val="20"/>
                <w:highlight w:val="none"/>
              </w:rPr>
              <w:t xml:space="preserve">Фундамент, перегородки и чердачное перекрытие также деревянные. Отопление водяное от котельной. Крыша выполнена из профлиста. </w:t>
            </w:r>
          </w:p>
          <w:p>
            <w:pPr>
              <w:pStyle w:val="11"/>
              <w:jc w:val="both"/>
              <w:rPr>
                <w:rFonts w:hint="default" w:ascii="Gotham Pro" w:hAnsi="Gotham Pro" w:cs="Gotham Pro"/>
                <w:sz w:val="20"/>
                <w:szCs w:val="20"/>
                <w:highlight w:val="none"/>
              </w:rPr>
            </w:pPr>
            <w:r>
              <w:rPr>
                <w:rFonts w:hint="default" w:ascii="Gotham Pro" w:hAnsi="Gotham Pro" w:cs="Gotham Pro"/>
                <w:sz w:val="20"/>
                <w:szCs w:val="20"/>
                <w:highlight w:val="none"/>
              </w:rPr>
              <w:t>В здании есть фойе, кабинет заведующей, сцена, зрительный зал, костюмерная.</w:t>
            </w:r>
          </w:p>
          <w:p>
            <w:pPr>
              <w:pStyle w:val="11"/>
              <w:jc w:val="both"/>
              <w:rPr>
                <w:rFonts w:hint="default" w:ascii="Gotham Pro" w:hAnsi="Gotham Pro" w:cs="Gotham Pro"/>
                <w:sz w:val="20"/>
                <w:szCs w:val="20"/>
                <w:highlight w:val="none"/>
              </w:rPr>
            </w:pPr>
            <w:r>
              <w:rPr>
                <w:rFonts w:hint="default" w:ascii="Gotham Pro" w:hAnsi="Gotham Pro" w:cs="Gotham Pro"/>
                <w:sz w:val="20"/>
                <w:szCs w:val="20"/>
                <w:highlight w:val="none"/>
              </w:rPr>
              <w:t>Дом культуры был построен в 2011-2013 годах.</w:t>
            </w:r>
          </w:p>
          <w:p>
            <w:pPr>
              <w:pStyle w:val="11"/>
              <w:jc w:val="both"/>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rPr>
              <w:t>Фактическое посещение - 6425 чел/год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Муниципальное бюджетное учреждение культуры«Еравнинская централизованная библиотечная система»</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671430, Республика Бурятия, Еравнинский район, с. Сосново-Озерское, ул. Василенко, 2</w:t>
            </w:r>
          </w:p>
        </w:tc>
        <w:tc>
          <w:tcPr>
            <w:tcW w:w="2413" w:type="pct"/>
            <w:shd w:val="clear" w:color="auto" w:fill="auto"/>
            <w:vAlign w:val="top"/>
          </w:tcPr>
          <w:p>
            <w:pPr>
              <w:pStyle w:val="11"/>
              <w:jc w:val="both"/>
              <w:rPr>
                <w:rFonts w:hint="default" w:ascii="Gotham Pro" w:hAnsi="Gotham Pro" w:cs="Gotham Pro"/>
                <w:sz w:val="20"/>
                <w:szCs w:val="20"/>
                <w:highlight w:val="none"/>
              </w:rPr>
            </w:pPr>
            <w:r>
              <w:rPr>
                <w:rFonts w:hint="default" w:ascii="Gotham Pro" w:hAnsi="Gotham Pro" w:cs="Gotham Pro"/>
                <w:sz w:val="20"/>
                <w:szCs w:val="20"/>
                <w:highlight w:val="none"/>
              </w:rPr>
              <w:t>Общая площадь помещений МБУК «Еравнинская ЦБС» составляет 1526,03 кв. м, из нее для хранения фондов 484,48 кв.м, для обслуживания пользователей 909,95 кв. м.</w:t>
            </w:r>
          </w:p>
          <w:p>
            <w:pPr>
              <w:pStyle w:val="11"/>
              <w:jc w:val="both"/>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rPr>
              <w:t>Фактическое посещение -33165 чел/год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Сосново-Озерская модельная детская библиотека (в структуре муниципального бюджетного учреждения культуры «Еравнинская централизованная библиотечная система»)</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Республика Бурятия, Еравнинский район, с. Сосново-Озерское, ул. Первомайская 115 "б"</w:t>
            </w:r>
          </w:p>
        </w:tc>
        <w:tc>
          <w:tcPr>
            <w:tcW w:w="2413" w:type="pct"/>
            <w:shd w:val="clear" w:color="auto" w:fill="auto"/>
            <w:vAlign w:val="top"/>
          </w:tcPr>
          <w:p>
            <w:pPr>
              <w:pStyle w:val="11"/>
              <w:jc w:val="both"/>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rPr>
              <w:t>Фактическое посещение -26612 чел/год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с. Домна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Домнинский сельский дом культуры</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Республика Бурятия, Еравнинский район, с. Домна, ул. Школьная, 10а</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Домнинский сельский клуб был построен в 1957 году. В 2011 году было принято решение о капитальном ремонте сельского клуба. Заменена обшивка здания, кровли, ремонт пола, потолка и стен, замена дверей и окон.</w:t>
            </w:r>
          </w:p>
          <w:p>
            <w:pPr>
              <w:pStyle w:val="11"/>
              <w:jc w:val="both"/>
              <w:rPr>
                <w:rFonts w:hint="default" w:ascii="Gotham Pro" w:hAnsi="Gotham Pro" w:cs="Gotham Pro"/>
                <w:sz w:val="20"/>
                <w:szCs w:val="20"/>
              </w:rPr>
            </w:pP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 июне 2013 года дом культуры вновь открыл свои двери после реконструкции.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Домнинская сельская библиотека (в структуре муниципального бюджетного учреждения культуры «Еравнинская централизованная библиотечная система»)</w:t>
            </w:r>
          </w:p>
        </w:tc>
        <w:tc>
          <w:tcPr>
            <w:tcW w:w="1155"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 xml:space="preserve">Республика Бурятия, Еравнинский район, с. Домна, </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Школьная, д. 8.</w:t>
            </w:r>
          </w:p>
        </w:tc>
        <w:tc>
          <w:tcPr>
            <w:tcW w:w="2413"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проектная посещаемость -12 чел/день.</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Фактическая посещаемость – 1421 чел/год.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rPr>
              <w:t>пос. Гарам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Гарамский сельский дом культуры</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Республика Бурятия, Еравнинский район, пос. Гарам</w:t>
            </w:r>
          </w:p>
        </w:tc>
        <w:tc>
          <w:tcPr>
            <w:tcW w:w="2413"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Фактическая посещаемость – 3332 чел/год.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0"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Гарамская сельская библиотека (в структуре муниципального бюджетного учреждения культуры «Еравнинская централизованная библиотечная система»)</w:t>
            </w:r>
          </w:p>
        </w:tc>
        <w:tc>
          <w:tcPr>
            <w:tcW w:w="1155"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Республика Бурятия, Еравнинский район, пос. Гарам, ул. Орлова, д. 12</w:t>
            </w:r>
          </w:p>
        </w:tc>
        <w:tc>
          <w:tcPr>
            <w:tcW w:w="2413" w:type="pct"/>
            <w:shd w:val="clear" w:color="auto" w:fill="auto"/>
            <w:vAlign w:val="top"/>
          </w:tcPr>
          <w:p>
            <w:pPr>
              <w:pStyle w:val="11"/>
              <w:jc w:val="both"/>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rPr>
              <w:t>Фактическая посещаемость – 1722 чел/год.</w:t>
            </w:r>
          </w:p>
        </w:tc>
      </w:tr>
    </w:tbl>
    <w:p>
      <w:pPr>
        <w:pStyle w:val="11"/>
        <w:spacing w:line="276" w:lineRule="auto"/>
        <w:ind w:firstLine="567"/>
        <w:jc w:val="both"/>
        <w:rPr>
          <w:rFonts w:ascii="Times New Roman" w:hAnsi="Times New Roman" w:cs="Times New Roman"/>
          <w:sz w:val="28"/>
          <w:szCs w:val="28"/>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Основная функция учреждений культуры – организация культурно-досуговой деятельности населения. Работа учреждений культуры сельского поселения охватывает все слои населения – от дошкольников до людей пожилого возраста.  Учреждение занимается социально-культурной, культурно - досуговой деятельностью, которая определяет культурную политику в поселении.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учреждениях культуры работают клубные формирования, коллективы, которые принимают активное участие, в любых культурных мероприятиях.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целях сохранения и развития культурного потенциала на территории   поселения требуется решение следующих задач:</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привлечение большего числа населения к занятиям   в культурно-досуговых учреждениях, посещению массовых мероприятий;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увеличение финансирования;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укрепление материально-технической базы;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сохранение и развитие народных традиций и национальных культур.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Экономика поселения</w:t>
      </w: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39"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Сельское хозяйство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Территория поселения находится в зоне рискованного земледелия, но в  целом  агроклиматические  условия  поселения  благоприятны  для получения устойчивых  урожаев  районированных  сельскохозяйственных  культур  и  развития  животноводства.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Сельское хозяйство в поселении представляют действующие крестьянские (фермерские) хозяйства и личные подсобные хозяйства. Большинство сельскохозяйственной продукции производится в личных подсобных хозяйствах.В поселении по состоянию на 01.01.2022г. зарегистрировано 2057 личных подсобных хозяйства.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поселении зарегистрировано 7 крестьянских (фермерских) хозяйства, которые занимаются сельским хозяйством: разведением крупного рогатого скота, растениеводством.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Основные направления развития сельского хозяйства: растениеводство, включая кормопроизводство, разведение крупного рогатого скота, овцеводство, коневодство.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39"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Промышленность и торговля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Отрасль торговли и общественного питания представлена следующими объектами: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торговля смешанными товарами</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«Улалзай» ИП Дамдинова С.Э, адрес: с. Сосново-Озерское, ул.Матросова;</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«Продукты» ИП Тыскеева Т.В, адрес: с. Сосново-Озерское ул. Матросова 51;</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«Продукты» ИП Тыскеева Т.В, адрес: с. Сосново-Озерское, ул. Первомайская,  9а;</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«Саша» ИП  Ержина Г.В, адрес: с. Сосново-Озерское, ул. Бадеева, 26;</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Магазин «Наран»  ИП Лукьянова В.А, адрес: с. Сосново-Озерское, ул. Василенко, 51Г; </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ИП Адмаева И.А,  С.Сосново-Озерское, ул. Первомайская, 100;</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«Футбери» ИП Шагдарова И.В, адрес: с. Сосново-Озерское, ул. Первомайская, 105;</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«Титан» ИП Бредний В.В, адрес: с.Сосново-Озерское, ул.Первомайская;</w:t>
      </w:r>
    </w:p>
    <w:p>
      <w:pPr>
        <w:pStyle w:val="11"/>
        <w:keepNext w:val="0"/>
        <w:keepLines w:val="0"/>
        <w:pageBreakBefore w:val="0"/>
        <w:widowControl/>
        <w:numPr>
          <w:ilvl w:val="0"/>
          <w:numId w:val="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«Барис» ИП Аюрова С П, адрес: с.Сосново-Озерское, ул.Первомайская;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Фрукты и овощи, цветы:</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Продажа фруктов ИП Ибадулов адрес: с.Сосново-Озерское, ул.Первомайская;</w:t>
      </w:r>
    </w:p>
    <w:p>
      <w:pPr>
        <w:pStyle w:val="11"/>
        <w:keepNext w:val="0"/>
        <w:keepLines w:val="0"/>
        <w:pageBreakBefore w:val="0"/>
        <w:widowControl/>
        <w:numPr>
          <w:ilvl w:val="0"/>
          <w:numId w:val="6"/>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«Цветы и сувениры» ИП Жапова Т, адрес: с. Сосново-Озерское, ул. Первомайская;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Продажа промышленных товаров:</w:t>
      </w: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Вещевой магазин ИП Баданова Х.Б,  адрес: с. Сосново-Озерское, ул. Первомайская;</w:t>
      </w: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«Мир одежды» ИП Кабутов,  адрес: с. Сосново-Озерское, ул. Первомайская;</w:t>
      </w: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Вещевой магазин ИП Амемжинова, адрес: с. Сосново-Озерское, ул. Первомайская;</w:t>
      </w: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Автомагазин «Лада» ИП Колоколов АС (торговля автозапчастями и хозтоварами), адрес: с. Сосново-Озерское, ул. Василенко 65Б;</w:t>
      </w:r>
    </w:p>
    <w:p>
      <w:pPr>
        <w:pStyle w:val="11"/>
        <w:keepNext w:val="0"/>
        <w:keepLines w:val="0"/>
        <w:pageBreakBefore w:val="0"/>
        <w:widowControl/>
        <w:numPr>
          <w:ilvl w:val="0"/>
          <w:numId w:val="0"/>
        </w:numPr>
        <w:kinsoku/>
        <w:wordWrap/>
        <w:overflowPunct/>
        <w:topLinePunct w:val="0"/>
        <w:autoSpaceDE/>
        <w:autoSpaceDN/>
        <w:bidi w:val="0"/>
        <w:adjustRightInd/>
        <w:snapToGrid/>
        <w:spacing w:after="0" w:line="300" w:lineRule="auto"/>
        <w:jc w:val="both"/>
        <w:textAlignment w:val="auto"/>
        <w:rPr>
          <w:rFonts w:hint="default" w:ascii="Gotham Pro" w:hAnsi="Gotham Pro" w:cs="Gotham Pro"/>
          <w:sz w:val="24"/>
          <w:szCs w:val="24"/>
        </w:rPr>
      </w:pPr>
    </w:p>
    <w:p>
      <w:pPr>
        <w:pStyle w:val="11"/>
        <w:keepNext w:val="0"/>
        <w:keepLines w:val="0"/>
        <w:pageBreakBefore w:val="0"/>
        <w:widowControl/>
        <w:numPr>
          <w:ilvl w:val="0"/>
          <w:numId w:val="0"/>
        </w:numPr>
        <w:kinsoku/>
        <w:wordWrap/>
        <w:overflowPunct/>
        <w:topLinePunct w:val="0"/>
        <w:autoSpaceDE/>
        <w:autoSpaceDN/>
        <w:bidi w:val="0"/>
        <w:adjustRightInd/>
        <w:snapToGrid/>
        <w:spacing w:after="0" w:line="300" w:lineRule="auto"/>
        <w:jc w:val="both"/>
        <w:textAlignment w:val="auto"/>
        <w:rPr>
          <w:rFonts w:hint="default" w:ascii="Gotham Pro" w:hAnsi="Gotham Pro" w:cs="Gotham Pro"/>
          <w:sz w:val="24"/>
          <w:szCs w:val="24"/>
        </w:rPr>
      </w:pPr>
    </w:p>
    <w:p>
      <w:pPr>
        <w:pStyle w:val="11"/>
        <w:keepNext w:val="0"/>
        <w:keepLines w:val="0"/>
        <w:pageBreakBefore w:val="0"/>
        <w:widowControl/>
        <w:numPr>
          <w:ilvl w:val="0"/>
          <w:numId w:val="0"/>
        </w:numPr>
        <w:kinsoku/>
        <w:wordWrap/>
        <w:overflowPunct/>
        <w:topLinePunct w:val="0"/>
        <w:autoSpaceDE/>
        <w:autoSpaceDN/>
        <w:bidi w:val="0"/>
        <w:adjustRightInd/>
        <w:snapToGrid/>
        <w:spacing w:after="0" w:line="300" w:lineRule="auto"/>
        <w:jc w:val="both"/>
        <w:textAlignment w:val="auto"/>
        <w:rPr>
          <w:rFonts w:hint="default" w:ascii="Gotham Pro" w:hAnsi="Gotham Pro" w:cs="Gotham Pro"/>
          <w:sz w:val="24"/>
          <w:szCs w:val="24"/>
        </w:rPr>
      </w:pP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ИП Цыренова С. А. (вещи, автозапчасти, мебель, хозтовары), адрес: с. Сосново-Озерское, ул.Василенко;</w:t>
      </w:r>
    </w:p>
    <w:p>
      <w:pPr>
        <w:pStyle w:val="11"/>
        <w:keepNext w:val="0"/>
        <w:keepLines w:val="0"/>
        <w:pageBreakBefore w:val="0"/>
        <w:widowControl/>
        <w:numPr>
          <w:ilvl w:val="0"/>
          <w:numId w:val="7"/>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Магазин «автомасла» ИП Дугданов Ц.Э, адрес: с. Сосново-Озерское, ул. Первомайская;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Общественное питание:</w:t>
      </w:r>
    </w:p>
    <w:p>
      <w:pPr>
        <w:pStyle w:val="11"/>
        <w:keepNext w:val="0"/>
        <w:keepLines w:val="0"/>
        <w:pageBreakBefore w:val="0"/>
        <w:widowControl/>
        <w:numPr>
          <w:ilvl w:val="0"/>
          <w:numId w:val="8"/>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Кафе «Центр», адрес: с. Сосново-Озерское, ул. Первомайская;</w:t>
      </w:r>
    </w:p>
    <w:p>
      <w:pPr>
        <w:pStyle w:val="11"/>
        <w:keepNext w:val="0"/>
        <w:keepLines w:val="0"/>
        <w:pageBreakBefore w:val="0"/>
        <w:widowControl/>
        <w:numPr>
          <w:ilvl w:val="0"/>
          <w:numId w:val="8"/>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Кафе «Турхул ИП Медведев Г.В, адрес: . Сосново-Озерское, ул. Первомайская, 117А;</w:t>
      </w:r>
    </w:p>
    <w:p>
      <w:pPr>
        <w:pStyle w:val="11"/>
        <w:keepNext w:val="0"/>
        <w:keepLines w:val="0"/>
        <w:pageBreakBefore w:val="0"/>
        <w:widowControl/>
        <w:numPr>
          <w:ilvl w:val="0"/>
          <w:numId w:val="8"/>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Кафе «Толон», адрес: с. Сосново-Озерское, ул. Первомайская;</w:t>
      </w:r>
    </w:p>
    <w:p>
      <w:pPr>
        <w:pStyle w:val="11"/>
        <w:keepNext w:val="0"/>
        <w:keepLines w:val="0"/>
        <w:pageBreakBefore w:val="0"/>
        <w:widowControl/>
        <w:numPr>
          <w:ilvl w:val="0"/>
          <w:numId w:val="8"/>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Столовая, адрес: с. Сосново-Озерское, ул. Первомайская;</w:t>
      </w:r>
    </w:p>
    <w:p>
      <w:pPr>
        <w:pStyle w:val="11"/>
        <w:keepNext w:val="0"/>
        <w:keepLines w:val="0"/>
        <w:pageBreakBefore w:val="0"/>
        <w:widowControl/>
        <w:numPr>
          <w:ilvl w:val="0"/>
          <w:numId w:val="8"/>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Кафе «Караоке», адрес: с. Сосново-Озерское, ул. Октябрьская;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Обслуживание автомобилей:</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АЗС № 16, адрес: с. Сосново-Озерское, ул. Первомайская;</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АЗС, адрес: с. Сосново-Озерское, ул. Первомайская, 271;</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СТО ИП Агбанов, адрес: с. Сосново-Озерское, ул. Терешковой;</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СТО ИП Карнаухов, адрес: с. Сосново-Озерское, ул. Номтоева;</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СТО ИП Банин, адрес: с. Сосново-Озерское, ул. Бадеева;</w:t>
      </w:r>
    </w:p>
    <w:p>
      <w:pPr>
        <w:pStyle w:val="11"/>
        <w:keepNext w:val="0"/>
        <w:keepLines w:val="0"/>
        <w:pageBreakBefore w:val="0"/>
        <w:widowControl/>
        <w:numPr>
          <w:ilvl w:val="0"/>
          <w:numId w:val="9"/>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СТО ИП Жалсобон, адрес: с. Сосново-Озерское, ул. Первомайская.</w:t>
      </w:r>
    </w:p>
    <w:p>
      <w:pPr>
        <w:pStyle w:val="11"/>
        <w:spacing w:line="276" w:lineRule="auto"/>
        <w:jc w:val="both"/>
        <w:rPr>
          <w:rFonts w:ascii="Times New Roman" w:hAnsi="Times New Roman" w:cs="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Сведения о количестве и площади объектов торговли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1.5.2.-1</w:t>
      </w:r>
    </w:p>
    <w:tbl>
      <w:tblPr>
        <w:tblStyle w:val="3"/>
        <w:tblpPr w:leftFromText="180" w:rightFromText="180" w:vertAnchor="text" w:horzAnchor="page" w:tblpX="1791" w:tblpY="233"/>
        <w:tblOverlap w:val="never"/>
        <w:tblW w:w="49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813"/>
        <w:gridCol w:w="1880"/>
        <w:gridCol w:w="19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02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Объект торговли</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 xml:space="preserve">Количество объектов </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 xml:space="preserve">Площадь торгового зала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027" w:type="pct"/>
            <w:shd w:val="clear" w:color="auto" w:fill="auto"/>
          </w:tcPr>
          <w:p>
            <w:pPr>
              <w:pStyle w:val="14"/>
              <w:ind w:left="0" w:leftChars="0" w:firstLine="0" w:firstLineChars="0"/>
              <w:jc w:val="center"/>
              <w:rPr>
                <w:sz w:val="22"/>
                <w:szCs w:val="22"/>
              </w:rPr>
            </w:pPr>
            <w:r>
              <w:rPr>
                <w:sz w:val="22"/>
                <w:szCs w:val="22"/>
              </w:rPr>
              <w:t>1</w:t>
            </w:r>
          </w:p>
        </w:tc>
        <w:tc>
          <w:tcPr>
            <w:tcW w:w="979" w:type="pct"/>
            <w:shd w:val="clear" w:color="auto" w:fill="auto"/>
          </w:tcPr>
          <w:p>
            <w:pPr>
              <w:pStyle w:val="14"/>
              <w:ind w:left="0" w:leftChars="0" w:firstLine="0" w:firstLineChars="0"/>
              <w:jc w:val="center"/>
              <w:rPr>
                <w:sz w:val="22"/>
                <w:szCs w:val="22"/>
              </w:rPr>
            </w:pPr>
            <w:r>
              <w:rPr>
                <w:sz w:val="22"/>
                <w:szCs w:val="22"/>
              </w:rPr>
              <w:t>2</w:t>
            </w:r>
          </w:p>
        </w:tc>
        <w:tc>
          <w:tcPr>
            <w:tcW w:w="993" w:type="pct"/>
            <w:shd w:val="clear" w:color="auto" w:fill="auto"/>
          </w:tcPr>
          <w:p>
            <w:pPr>
              <w:pStyle w:val="14"/>
              <w:ind w:left="0" w:leftChars="0" w:firstLine="0" w:firstLineChars="0"/>
              <w:jc w:val="center"/>
              <w:rPr>
                <w:sz w:val="22"/>
                <w:szCs w:val="22"/>
              </w:rPr>
            </w:pPr>
            <w:r>
              <w:rPr>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027"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магазины</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41</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2860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027"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в т.ч. специализированные продовольственные магазины</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027"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специализированные непродовольственные магазины</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027"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прочие магазины</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027"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павильоны</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027"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супермаркеты</w:t>
            </w:r>
          </w:p>
        </w:tc>
        <w:tc>
          <w:tcPr>
            <w:tcW w:w="97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9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990</w:t>
            </w:r>
          </w:p>
        </w:tc>
      </w:tr>
    </w:tbl>
    <w:p>
      <w:pPr>
        <w:pStyle w:val="11"/>
        <w:spacing w:line="276" w:lineRule="auto"/>
        <w:ind w:firstLine="567"/>
        <w:jc w:val="right"/>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Сведения о количестве посадочных мест и площади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объектов общественного питания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1.5.2.-2</w:t>
      </w:r>
    </w:p>
    <w:tbl>
      <w:tblPr>
        <w:tblStyle w:val="3"/>
        <w:tblpPr w:leftFromText="180" w:rightFromText="180" w:vertAnchor="text" w:horzAnchor="page" w:tblpX="1791" w:tblpY="233"/>
        <w:tblOverlap w:val="never"/>
        <w:tblW w:w="49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970"/>
        <w:gridCol w:w="2436"/>
        <w:gridCol w:w="2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58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Объект общественного питания</w:t>
            </w:r>
          </w:p>
        </w:tc>
        <w:tc>
          <w:tcPr>
            <w:tcW w:w="126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Количество посадочных мест</w:t>
            </w:r>
            <w:r>
              <w:rPr>
                <w:rFonts w:hint="default" w:ascii="Gotham Pro" w:hAnsi="Gotham Pro" w:cs="Gotham Pro"/>
                <w:color w:val="000000"/>
                <w:sz w:val="20"/>
                <w:szCs w:val="20"/>
                <w:shd w:val="clear" w:color="auto" w:fill="FFFFFF"/>
                <w:lang w:val="ru-RU"/>
              </w:rPr>
              <w:t>, ед.</w:t>
            </w:r>
          </w:p>
        </w:tc>
        <w:tc>
          <w:tcPr>
            <w:tcW w:w="1142" w:type="pct"/>
            <w:shd w:val="clear" w:color="auto" w:fill="auto"/>
            <w:vAlign w:val="top"/>
          </w:tcPr>
          <w:p>
            <w:pPr>
              <w:pStyle w:val="11"/>
              <w:spacing w:line="276" w:lineRule="auto"/>
              <w:jc w:val="center"/>
              <w:rPr>
                <w:rFonts w:hint="default" w:ascii="Gotham Pro" w:hAnsi="Gotham Pro" w:cs="Gotham Pro" w:eastAsiaTheme="minorEastAsia"/>
                <w:sz w:val="20"/>
                <w:szCs w:val="20"/>
                <w:vertAlign w:val="baseline"/>
                <w:lang w:val="ru-RU" w:eastAsia="ru-RU" w:bidi="ar-SA"/>
              </w:rPr>
            </w:pPr>
            <w:r>
              <w:rPr>
                <w:rFonts w:hint="default" w:ascii="Gotham Pro" w:hAnsi="Gotham Pro" w:cs="Gotham Pro"/>
                <w:color w:val="000000"/>
                <w:sz w:val="20"/>
                <w:szCs w:val="20"/>
                <w:shd w:val="clear" w:color="auto" w:fill="FFFFFF"/>
              </w:rPr>
              <w:t>Площадь зала обслуживания</w:t>
            </w:r>
            <w:r>
              <w:rPr>
                <w:rFonts w:hint="default" w:ascii="Gotham Pro" w:hAnsi="Gotham Pro" w:cs="Gotham Pro"/>
                <w:color w:val="000000"/>
                <w:sz w:val="20"/>
                <w:szCs w:val="20"/>
                <w:shd w:val="clear" w:color="auto" w:fill="FFFFFF"/>
                <w:lang w:val="ru-RU"/>
              </w:rPr>
              <w:t>, м</w:t>
            </w:r>
            <w:r>
              <w:rPr>
                <w:rFonts w:hint="default" w:ascii="Gotham Pro" w:hAnsi="Gotham Pro" w:cs="Gotham Pro"/>
                <w:color w:val="000000"/>
                <w:sz w:val="20"/>
                <w:szCs w:val="20"/>
                <w:shd w:val="clear" w:color="auto" w:fill="FFFFFF"/>
                <w:vertAlign w:val="superscript"/>
                <w:lang w:val="ru-RU"/>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588" w:type="pct"/>
            <w:shd w:val="clear" w:color="auto" w:fill="auto"/>
          </w:tcPr>
          <w:p>
            <w:pPr>
              <w:pStyle w:val="14"/>
              <w:ind w:left="0" w:leftChars="0" w:firstLine="0" w:firstLineChars="0"/>
              <w:jc w:val="center"/>
              <w:rPr>
                <w:sz w:val="22"/>
                <w:szCs w:val="22"/>
              </w:rPr>
            </w:pPr>
            <w:r>
              <w:rPr>
                <w:sz w:val="22"/>
                <w:szCs w:val="22"/>
              </w:rPr>
              <w:t>1</w:t>
            </w:r>
          </w:p>
        </w:tc>
        <w:tc>
          <w:tcPr>
            <w:tcW w:w="1268" w:type="pct"/>
            <w:shd w:val="clear" w:color="auto" w:fill="auto"/>
          </w:tcPr>
          <w:p>
            <w:pPr>
              <w:pStyle w:val="14"/>
              <w:ind w:left="0" w:leftChars="0" w:firstLine="0" w:firstLineChars="0"/>
              <w:jc w:val="center"/>
              <w:rPr>
                <w:sz w:val="22"/>
                <w:szCs w:val="22"/>
              </w:rPr>
            </w:pPr>
            <w:r>
              <w:rPr>
                <w:sz w:val="22"/>
                <w:szCs w:val="22"/>
              </w:rPr>
              <w:t>2</w:t>
            </w:r>
          </w:p>
        </w:tc>
        <w:tc>
          <w:tcPr>
            <w:tcW w:w="1142" w:type="pct"/>
            <w:shd w:val="clear" w:color="auto" w:fill="auto"/>
          </w:tcPr>
          <w:p>
            <w:pPr>
              <w:pStyle w:val="14"/>
              <w:ind w:left="0" w:leftChars="0" w:firstLine="0" w:firstLineChars="0"/>
              <w:jc w:val="center"/>
              <w:rPr>
                <w:sz w:val="22"/>
                <w:szCs w:val="22"/>
              </w:rPr>
            </w:pPr>
            <w:r>
              <w:rPr>
                <w:sz w:val="22"/>
                <w:szCs w:val="22"/>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588"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общедоступные столовые, закусочные</w:t>
            </w:r>
          </w:p>
        </w:tc>
        <w:tc>
          <w:tcPr>
            <w:tcW w:w="126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114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588" w:type="pct"/>
            <w:shd w:val="clear" w:color="auto" w:fill="auto"/>
            <w:vAlign w:val="top"/>
          </w:tcPr>
          <w:p>
            <w:pPr>
              <w:pStyle w:val="11"/>
              <w:spacing w:line="276" w:lineRule="auto"/>
              <w:rPr>
                <w:rFonts w:hint="default" w:ascii="Gotham Pro" w:hAnsi="Gotham Pro" w:cs="Gotham Pro"/>
                <w:color w:val="000000"/>
                <w:sz w:val="20"/>
                <w:szCs w:val="20"/>
                <w:shd w:val="clear" w:color="auto" w:fill="FFFFFF"/>
              </w:rPr>
            </w:pPr>
            <w:r>
              <w:rPr>
                <w:rFonts w:hint="default" w:ascii="Gotham Pro" w:hAnsi="Gotham Pro" w:cs="Gotham Pro"/>
                <w:color w:val="000000"/>
                <w:sz w:val="20"/>
                <w:szCs w:val="20"/>
                <w:shd w:val="clear" w:color="auto" w:fill="FFFFFF"/>
              </w:rPr>
              <w:t xml:space="preserve">столовые учебных заведений, организаций, </w:t>
            </w:r>
          </w:p>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промышленных предприятий</w:t>
            </w:r>
          </w:p>
        </w:tc>
        <w:tc>
          <w:tcPr>
            <w:tcW w:w="126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270</w:t>
            </w:r>
          </w:p>
        </w:tc>
        <w:tc>
          <w:tcPr>
            <w:tcW w:w="114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588" w:type="pct"/>
            <w:shd w:val="clear" w:color="auto" w:fill="auto"/>
            <w:vAlign w:val="top"/>
          </w:tcPr>
          <w:p>
            <w:pPr>
              <w:pStyle w:val="11"/>
              <w:spacing w:line="276" w:lineRule="auto"/>
              <w:rPr>
                <w:rFonts w:hint="default" w:ascii="Gotham Pro" w:hAnsi="Gotham Pro" w:cs="Gotham Pro"/>
                <w:color w:val="000000"/>
                <w:sz w:val="20"/>
                <w:szCs w:val="20"/>
                <w:shd w:val="clear" w:color="auto" w:fill="FFFFFF"/>
              </w:rPr>
            </w:pPr>
          </w:p>
          <w:p>
            <w:pPr>
              <w:pStyle w:val="11"/>
              <w:spacing w:line="276" w:lineRule="auto"/>
              <w:rPr>
                <w:rFonts w:hint="default" w:ascii="Gotham Pro" w:hAnsi="Gotham Pro" w:cs="Gotham Pro"/>
                <w:color w:val="000000"/>
                <w:sz w:val="20"/>
                <w:szCs w:val="20"/>
                <w:shd w:val="clear" w:color="auto" w:fill="FFFFFF"/>
              </w:rPr>
            </w:pPr>
          </w:p>
          <w:p>
            <w:pPr>
              <w:pStyle w:val="11"/>
              <w:spacing w:line="276" w:lineRule="auto"/>
              <w:rPr>
                <w:rFonts w:hint="default" w:ascii="Gotham Pro" w:hAnsi="Gotham Pro" w:cs="Gotham Pro"/>
                <w:color w:val="000000"/>
                <w:sz w:val="20"/>
                <w:szCs w:val="20"/>
                <w:shd w:val="clear" w:color="auto" w:fill="FFFFFF"/>
              </w:rPr>
            </w:pPr>
          </w:p>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рестораны, кафе, бары</w:t>
            </w:r>
          </w:p>
        </w:tc>
        <w:tc>
          <w:tcPr>
            <w:tcW w:w="1268" w:type="pct"/>
            <w:shd w:val="clear" w:color="auto" w:fill="auto"/>
            <w:vAlign w:val="top"/>
          </w:tcPr>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173</w:t>
            </w:r>
          </w:p>
        </w:tc>
        <w:tc>
          <w:tcPr>
            <w:tcW w:w="1142" w:type="pct"/>
            <w:shd w:val="clear" w:color="auto" w:fill="auto"/>
            <w:vAlign w:val="top"/>
          </w:tcPr>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sz w:val="20"/>
                <w:szCs w:val="20"/>
              </w:rPr>
            </w:pP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322</w:t>
            </w:r>
          </w:p>
        </w:tc>
      </w:tr>
    </w:tbl>
    <w:p>
      <w:pPr>
        <w:pStyle w:val="11"/>
        <w:spacing w:line="276" w:lineRule="auto"/>
        <w:ind w:firstLine="567"/>
        <w:jc w:val="right"/>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Сведения о коллективных средствах размещения и объектах</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 бытового обслуживания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1.5.2.-3</w:t>
      </w:r>
    </w:p>
    <w:tbl>
      <w:tblPr>
        <w:tblStyle w:val="3"/>
        <w:tblpPr w:leftFromText="180" w:rightFromText="180" w:vertAnchor="text" w:horzAnchor="page" w:tblpX="1791" w:tblpY="233"/>
        <w:tblOverlap w:val="never"/>
        <w:tblW w:w="492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789"/>
        <w:gridCol w:w="3060"/>
        <w:gridCol w:w="275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73" w:type="pct"/>
            <w:shd w:val="clear" w:color="auto" w:fill="auto"/>
            <w:vAlign w:val="top"/>
          </w:tcPr>
          <w:p>
            <w:pPr>
              <w:pStyle w:val="11"/>
              <w:spacing w:line="276" w:lineRule="auto"/>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ru-RU" w:eastAsia="ru-RU" w:bidi="ar-SA"/>
              </w:rPr>
              <w:t>Наименование</w:t>
            </w:r>
            <w:r>
              <w:rPr>
                <w:rFonts w:hint="default" w:ascii="Gotham Pro" w:hAnsi="Gotham Pro" w:cs="Gotham Pro"/>
                <w:sz w:val="20"/>
                <w:szCs w:val="20"/>
                <w:lang w:val="en-US" w:eastAsia="ru-RU" w:bidi="ar-SA"/>
              </w:rPr>
              <w:t xml:space="preserve"> </w:t>
            </w:r>
          </w:p>
        </w:tc>
        <w:tc>
          <w:tcPr>
            <w:tcW w:w="15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 xml:space="preserve">Количество объектов </w:t>
            </w:r>
          </w:p>
        </w:tc>
        <w:tc>
          <w:tcPr>
            <w:tcW w:w="143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FFFFF"/>
              </w:rPr>
              <w:t>Количество мест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7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5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43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73"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коллективные средства размещения</w:t>
            </w:r>
          </w:p>
        </w:tc>
        <w:tc>
          <w:tcPr>
            <w:tcW w:w="15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c>
          <w:tcPr>
            <w:tcW w:w="143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73"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объекты  бытового обслуживания</w:t>
            </w:r>
          </w:p>
        </w:tc>
        <w:tc>
          <w:tcPr>
            <w:tcW w:w="15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w:t>
            </w:r>
          </w:p>
        </w:tc>
        <w:tc>
          <w:tcPr>
            <w:tcW w:w="143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Коммунальная инфраструктура</w:t>
      </w: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39"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Водоснабжение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Централизованное водоснабжение в МО СП «Сосново-Озерское» отсутствует во всех населенных пунктах поселения. Водоснабжение организовано от артезианских скважин и озер Сосновое, Большая Еравна. Вода населению доставляется водовозными автомашинами за плату.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Информация об имеющихся в поселении скважинах представлена в таблице 1.6.1.-1.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cs="Gotham Pro"/>
          <w:sz w:val="24"/>
          <w:szCs w:val="24"/>
        </w:rPr>
        <w:t xml:space="preserve">Главной целью является повышение качества водоснабжения населения поселения. </w:t>
      </w:r>
      <w:r>
        <w:rPr>
          <w:rFonts w:hint="default" w:ascii="Gotham Pro" w:hAnsi="Gotham Pro" w:eastAsia="Times New Roman" w:cs="Gotham Pro"/>
          <w:sz w:val="24"/>
          <w:szCs w:val="24"/>
        </w:rPr>
        <w:tab/>
      </w:r>
      <w:r>
        <w:rPr>
          <w:rFonts w:hint="default" w:ascii="Gotham Pro" w:hAnsi="Gotham Pro" w:eastAsia="Times New Roman" w:cs="Gotham Pro"/>
          <w:sz w:val="24"/>
          <w:szCs w:val="24"/>
        </w:rPr>
        <w:t>Решение задач, связанных с построением эффективной системы водоснабжения на территории сельского поселения это длительный и достаточно дорогостоящий процесс, который требует комплексного подхода к решению первоочередных задач. К таким задачам относится: строительство новых скважин с пригодной водой для питья, модернизация старых, путем капитального ремонта и внедрением оборудования для очистки воды. Повышение качества предоставляемых услуг по снабжению водой населения.</w:t>
      </w:r>
    </w:p>
    <w:p>
      <w:pPr>
        <w:spacing w:after="0"/>
        <w:jc w:val="both"/>
        <w:rPr>
          <w:rStyle w:val="13"/>
          <w:rFonts w:ascii="Times New Roman" w:hAnsi="Times New Roman" w:cs="Times New Roman"/>
          <w:sz w:val="28"/>
          <w:szCs w:val="28"/>
        </w:rPr>
      </w:pPr>
    </w:p>
    <w:p>
      <w:pPr>
        <w:pStyle w:val="11"/>
        <w:bidi w:val="0"/>
        <w:jc w:val="center"/>
        <w:rPr>
          <w:rFonts w:hint="default" w:ascii="Gotham Pro" w:hAnsi="Gotham Pro" w:cs="Gotham Pro"/>
          <w:sz w:val="20"/>
          <w:szCs w:val="20"/>
        </w:rPr>
      </w:pPr>
      <w:r>
        <w:rPr>
          <w:rFonts w:hint="default" w:ascii="Gotham Pro" w:hAnsi="Gotham Pro" w:cs="Gotham Pro"/>
          <w:sz w:val="20"/>
          <w:szCs w:val="20"/>
        </w:rPr>
        <w:t xml:space="preserve">Перечень водозаборных скважин </w:t>
      </w:r>
    </w:p>
    <w:p>
      <w:pPr>
        <w:pStyle w:val="11"/>
        <w:bidi w:val="0"/>
        <w:jc w:val="center"/>
        <w:rPr>
          <w:rFonts w:hint="default" w:ascii="Gotham Pro" w:hAnsi="Gotham Pro" w:cs="Gotham Pro"/>
          <w:sz w:val="20"/>
          <w:szCs w:val="20"/>
        </w:rPr>
      </w:pPr>
      <w:r>
        <w:rPr>
          <w:rFonts w:hint="default" w:ascii="Gotham Pro" w:hAnsi="Gotham Pro" w:cs="Gotham Pro"/>
          <w:sz w:val="20"/>
          <w:szCs w:val="20"/>
        </w:rPr>
        <w:t>для питьевого и хозяйственного бытового использования в МО СП «Сосново-Озерское»</w:t>
      </w:r>
    </w:p>
    <w:p>
      <w:pPr>
        <w:pStyle w:val="11"/>
        <w:bidi w:val="0"/>
        <w:jc w:val="right"/>
        <w:rPr>
          <w:rFonts w:hint="default" w:ascii="Gotham Pro" w:hAnsi="Gotham Pro" w:cs="Gotham Pro"/>
          <w:sz w:val="20"/>
          <w:szCs w:val="20"/>
        </w:rPr>
      </w:pPr>
      <w:r>
        <w:rPr>
          <w:rFonts w:hint="default" w:ascii="Gotham Pro" w:hAnsi="Gotham Pro" w:cs="Gotham Pro"/>
          <w:sz w:val="20"/>
          <w:szCs w:val="20"/>
        </w:rPr>
        <w:t>таблица 1.6.1.-1</w:t>
      </w:r>
    </w:p>
    <w:tbl>
      <w:tblPr>
        <w:tblStyle w:val="3"/>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898"/>
        <w:gridCol w:w="2268"/>
        <w:gridCol w:w="2052"/>
        <w:gridCol w:w="34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82"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Населенный пункт</w:t>
            </w:r>
          </w:p>
        </w:tc>
        <w:tc>
          <w:tcPr>
            <w:tcW w:w="117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Адрес</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Кадастровый номер ОКС</w:t>
            </w:r>
          </w:p>
        </w:tc>
        <w:tc>
          <w:tcPr>
            <w:tcW w:w="1782"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кадастровый номер земельного участка,</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сведения о целевом назначении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82" w:type="pct"/>
            <w:shd w:val="clear" w:color="auto" w:fill="auto"/>
          </w:tcPr>
          <w:p>
            <w:pPr>
              <w:pStyle w:val="14"/>
              <w:ind w:left="0" w:leftChars="0" w:firstLine="0" w:firstLineChars="0"/>
              <w:jc w:val="center"/>
              <w:rPr>
                <w:sz w:val="22"/>
                <w:szCs w:val="22"/>
              </w:rPr>
            </w:pPr>
            <w:r>
              <w:rPr>
                <w:sz w:val="22"/>
                <w:szCs w:val="22"/>
              </w:rPr>
              <w:t>1</w:t>
            </w:r>
          </w:p>
        </w:tc>
        <w:tc>
          <w:tcPr>
            <w:tcW w:w="1173" w:type="pct"/>
            <w:shd w:val="clear" w:color="auto" w:fill="auto"/>
          </w:tcPr>
          <w:p>
            <w:pPr>
              <w:pStyle w:val="14"/>
              <w:ind w:left="0" w:leftChars="0" w:firstLine="0" w:firstLineChars="0"/>
              <w:jc w:val="center"/>
              <w:rPr>
                <w:sz w:val="22"/>
                <w:szCs w:val="22"/>
              </w:rPr>
            </w:pPr>
            <w:r>
              <w:rPr>
                <w:sz w:val="22"/>
                <w:szCs w:val="22"/>
              </w:rPr>
              <w:t>2</w:t>
            </w:r>
          </w:p>
        </w:tc>
        <w:tc>
          <w:tcPr>
            <w:tcW w:w="1061" w:type="pct"/>
            <w:shd w:val="clear" w:color="auto" w:fill="auto"/>
          </w:tcPr>
          <w:p>
            <w:pPr>
              <w:pStyle w:val="14"/>
              <w:ind w:left="0" w:leftChars="0" w:firstLine="0" w:firstLineChars="0"/>
              <w:jc w:val="center"/>
              <w:rPr>
                <w:sz w:val="22"/>
                <w:szCs w:val="22"/>
              </w:rPr>
            </w:pPr>
            <w:r>
              <w:rPr>
                <w:sz w:val="22"/>
                <w:szCs w:val="22"/>
              </w:rPr>
              <w:t>3</w:t>
            </w:r>
          </w:p>
        </w:tc>
        <w:tc>
          <w:tcPr>
            <w:tcW w:w="1782" w:type="pct"/>
            <w:shd w:val="clear" w:color="auto" w:fill="auto"/>
          </w:tcPr>
          <w:p>
            <w:pPr>
              <w:pStyle w:val="14"/>
              <w:ind w:left="0" w:leftChars="0" w:firstLine="0" w:firstLineChars="0"/>
              <w:jc w:val="center"/>
              <w:rPr>
                <w:sz w:val="22"/>
                <w:szCs w:val="22"/>
              </w:rPr>
            </w:pPr>
            <w:r>
              <w:rPr>
                <w:sz w:val="22"/>
                <w:szCs w:val="22"/>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82" w:type="pct"/>
            <w:vMerge w:val="restar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117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Октябрьская, 36А</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1782"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03:05:100141:44,</w:t>
            </w:r>
          </w:p>
          <w:p>
            <w:pPr>
              <w:pStyle w:val="11"/>
              <w:bidi w:val="0"/>
              <w:jc w:val="center"/>
              <w:rPr>
                <w:rFonts w:hint="default" w:ascii="Gotham Pro" w:hAnsi="Gotham Pro" w:cs="Gotham Pro"/>
                <w:sz w:val="20"/>
                <w:szCs w:val="20"/>
              </w:rPr>
            </w:pPr>
            <w:r>
              <w:rPr>
                <w:rFonts w:hint="default" w:ascii="Gotham Pro" w:hAnsi="Gotham Pro" w:cs="Gotham Pro"/>
                <w:sz w:val="20"/>
                <w:szCs w:val="20"/>
              </w:rPr>
              <w:t>Земли населённых пунктов</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под водозаборный узел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82" w:type="pct"/>
            <w:vMerge w:val="continue"/>
            <w:shd w:val="clear" w:color="auto" w:fill="auto"/>
            <w:vAlign w:val="top"/>
          </w:tcPr>
          <w:p>
            <w:pPr>
              <w:pStyle w:val="11"/>
              <w:jc w:val="both"/>
              <w:rPr>
                <w:rFonts w:hint="default" w:ascii="Gotham Pro" w:hAnsi="Gotham Pro" w:cs="Gotham Pro" w:eastAsiaTheme="minorEastAsia"/>
                <w:sz w:val="20"/>
                <w:szCs w:val="20"/>
                <w:lang w:val="ru-RU" w:eastAsia="ru-RU" w:bidi="ar-SA"/>
              </w:rPr>
            </w:pPr>
          </w:p>
        </w:tc>
        <w:tc>
          <w:tcPr>
            <w:tcW w:w="117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Комсомольская, 40А</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03:05:100145:26</w:t>
            </w:r>
          </w:p>
        </w:tc>
        <w:tc>
          <w:tcPr>
            <w:tcW w:w="1782"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03:05:100145:22,</w:t>
            </w:r>
          </w:p>
          <w:p>
            <w:pPr>
              <w:pStyle w:val="11"/>
              <w:bidi w:val="0"/>
              <w:jc w:val="center"/>
              <w:rPr>
                <w:rFonts w:hint="default" w:ascii="Gotham Pro" w:hAnsi="Gotham Pro" w:cs="Gotham Pro"/>
                <w:sz w:val="20"/>
                <w:szCs w:val="20"/>
              </w:rPr>
            </w:pPr>
            <w:r>
              <w:rPr>
                <w:rFonts w:hint="default" w:ascii="Gotham Pro" w:hAnsi="Gotham Pro" w:cs="Gotham Pro"/>
                <w:sz w:val="20"/>
                <w:szCs w:val="20"/>
              </w:rPr>
              <w:t>Земли населённых пунктов</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строительства разведочно-эксплуатационной скважины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82" w:type="pct"/>
            <w:vMerge w:val="continue"/>
            <w:shd w:val="clear" w:color="auto" w:fill="auto"/>
            <w:vAlign w:val="top"/>
          </w:tcPr>
          <w:p>
            <w:pPr>
              <w:pStyle w:val="11"/>
              <w:jc w:val="both"/>
              <w:rPr>
                <w:rFonts w:hint="default" w:ascii="Gotham Pro" w:hAnsi="Gotham Pro" w:cs="Gotham Pro" w:eastAsiaTheme="minorEastAsia"/>
                <w:sz w:val="20"/>
                <w:szCs w:val="20"/>
                <w:lang w:val="ru-RU" w:eastAsia="ru-RU" w:bidi="ar-SA"/>
              </w:rPr>
            </w:pPr>
          </w:p>
        </w:tc>
        <w:tc>
          <w:tcPr>
            <w:tcW w:w="117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Сельская, 3А</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1782"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03:05:100186:45,</w:t>
            </w:r>
          </w:p>
          <w:p>
            <w:pPr>
              <w:pStyle w:val="11"/>
              <w:bidi w:val="0"/>
              <w:jc w:val="center"/>
              <w:rPr>
                <w:rFonts w:hint="default" w:ascii="Gotham Pro" w:hAnsi="Gotham Pro" w:cs="Gotham Pro"/>
                <w:sz w:val="20"/>
                <w:szCs w:val="20"/>
              </w:rPr>
            </w:pPr>
            <w:r>
              <w:rPr>
                <w:rFonts w:hint="default" w:ascii="Gotham Pro" w:hAnsi="Gotham Pro" w:cs="Gotham Pro"/>
                <w:sz w:val="20"/>
                <w:szCs w:val="20"/>
              </w:rPr>
              <w:t>Земли населённых пунктов</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размещения скважины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82"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1173"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ул. Набережная,</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1А</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1782"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Земли населённых пунктов</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размещения водозаборной скважины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82"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117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Центральная, 2</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1782"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Земли населённых пунктов</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под водозаборный узел</w:t>
            </w:r>
          </w:p>
        </w:tc>
      </w:tr>
    </w:tbl>
    <w:p>
      <w:pPr>
        <w:pStyle w:val="11"/>
        <w:bidi w:val="0"/>
        <w:jc w:val="right"/>
        <w:rPr>
          <w:rFonts w:hint="default" w:ascii="Gotham Pro" w:hAnsi="Gotham Pro" w:cs="Gotham Pro"/>
          <w:sz w:val="20"/>
          <w:szCs w:val="20"/>
        </w:rPr>
      </w:pPr>
    </w:p>
    <w:p>
      <w:pPr>
        <w:pStyle w:val="11"/>
        <w:bidi w:val="0"/>
        <w:jc w:val="right"/>
        <w:rPr>
          <w:rFonts w:hint="default" w:ascii="Gotham Pro" w:hAnsi="Gotham Pro" w:cs="Gotham Pro"/>
          <w:sz w:val="20"/>
          <w:szCs w:val="20"/>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40" w:firstLineChars="0"/>
        <w:jc w:val="both"/>
        <w:rPr>
          <w:rFonts w:hint="default" w:ascii="Gotham Pro" w:hAnsi="Gotham Pro" w:cs="Gotham Pro"/>
          <w:b/>
          <w:bCs/>
          <w:sz w:val="24"/>
          <w:szCs w:val="24"/>
        </w:rPr>
      </w:pPr>
      <w:r>
        <w:rPr>
          <w:rFonts w:hint="default" w:ascii="Gotham Pro" w:hAnsi="Gotham Pro" w:cs="Gotham Pro"/>
          <w:b/>
          <w:bCs/>
          <w:sz w:val="24"/>
          <w:szCs w:val="24"/>
        </w:rPr>
        <w:t>Водоотведение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В поселении отсутствуют централизованное водоотведение, очистные сооружения. Население использует локальные выгребные ямы.</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baseline"/>
        <w:rPr>
          <w:rFonts w:hint="default" w:ascii="Gotham Pro" w:hAnsi="Gotham Pro" w:eastAsia="Times New Roman" w:cs="Gotham Pro"/>
          <w:sz w:val="24"/>
          <w:szCs w:val="24"/>
        </w:rPr>
      </w:pPr>
      <w:r>
        <w:rPr>
          <w:rFonts w:hint="default" w:ascii="Gotham Pro" w:hAnsi="Gotham Pro" w:cs="Gotham Pro"/>
          <w:sz w:val="24"/>
          <w:szCs w:val="24"/>
        </w:rPr>
        <w:t>Также отсутствует ливневая канализация.</w:t>
      </w:r>
      <w:r>
        <w:rPr>
          <w:rFonts w:hint="default" w:ascii="Gotham Pro" w:hAnsi="Gotham Pro" w:eastAsia="Times New Roman" w:cs="Gotham Pro"/>
          <w:sz w:val="24"/>
          <w:szCs w:val="24"/>
        </w:rPr>
        <w:t xml:space="preserve"> Отвод дождевых и талых вод не регулируется и осуществляется в пониженные места существующего рельефа по придорожным канавам.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40" w:firstLineChars="0"/>
        <w:jc w:val="both"/>
        <w:rPr>
          <w:rFonts w:hint="default" w:ascii="Gotham Pro" w:hAnsi="Gotham Pro" w:cs="Gotham Pro"/>
          <w:b/>
          <w:bCs/>
          <w:sz w:val="24"/>
          <w:szCs w:val="24"/>
        </w:rPr>
      </w:pPr>
      <w:r>
        <w:rPr>
          <w:rFonts w:hint="default" w:ascii="Gotham Pro" w:hAnsi="Gotham Pro" w:cs="Gotham Pro"/>
          <w:b/>
          <w:bCs/>
          <w:sz w:val="24"/>
          <w:szCs w:val="24"/>
        </w:rPr>
        <w:t>Теплоснабжение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xml:space="preserve">В настоящее время в МО СП «Сосново-Озерское» централизованное теплоснабжение отсутствует. Централизованным теплоснабжением обеспечена  общественная застройка. Информация об имеющихся в поселении объектах теплоснабжения представлена в таблице 1.6.3.-1. </w:t>
      </w:r>
    </w:p>
    <w:p>
      <w:pPr>
        <w:pStyle w:val="11"/>
        <w:spacing w:line="276" w:lineRule="auto"/>
        <w:ind w:firstLine="567"/>
        <w:jc w:val="both"/>
        <w:rPr>
          <w:rFonts w:ascii="Times New Roman" w:hAnsi="Times New Roman" w:cs="Times New Roman"/>
          <w:sz w:val="28"/>
          <w:szCs w:val="28"/>
        </w:rPr>
      </w:pPr>
    </w:p>
    <w:p>
      <w:pPr>
        <w:pStyle w:val="11"/>
        <w:bidi w:val="0"/>
        <w:jc w:val="center"/>
        <w:rPr>
          <w:rFonts w:hint="default" w:ascii="Gotham Pro" w:hAnsi="Gotham Pro" w:cs="Gotham Pro"/>
          <w:sz w:val="20"/>
          <w:szCs w:val="20"/>
        </w:rPr>
      </w:pPr>
      <w:r>
        <w:rPr>
          <w:rFonts w:hint="default" w:ascii="Gotham Pro" w:hAnsi="Gotham Pro" w:cs="Gotham Pro"/>
          <w:sz w:val="20"/>
          <w:szCs w:val="20"/>
        </w:rPr>
        <w:t>Перечень объектов теплоснабжения</w:t>
      </w:r>
    </w:p>
    <w:p>
      <w:pPr>
        <w:pStyle w:val="11"/>
        <w:bidi w:val="0"/>
        <w:jc w:val="center"/>
        <w:rPr>
          <w:rFonts w:hint="default" w:ascii="Gotham Pro" w:hAnsi="Gotham Pro" w:cs="Gotham Pro"/>
          <w:sz w:val="20"/>
          <w:szCs w:val="20"/>
        </w:rPr>
      </w:pPr>
      <w:r>
        <w:rPr>
          <w:rFonts w:hint="default" w:ascii="Gotham Pro" w:hAnsi="Gotham Pro" w:cs="Gotham Pro"/>
          <w:sz w:val="20"/>
          <w:szCs w:val="20"/>
        </w:rPr>
        <w:t>в МО СП «Сосново-Озерское»</w:t>
      </w:r>
    </w:p>
    <w:p>
      <w:pPr>
        <w:pStyle w:val="11"/>
        <w:bidi w:val="0"/>
        <w:jc w:val="right"/>
        <w:rPr>
          <w:rFonts w:hint="default" w:ascii="Gotham Pro" w:hAnsi="Gotham Pro" w:cs="Gotham Pro"/>
          <w:sz w:val="20"/>
          <w:szCs w:val="20"/>
        </w:rPr>
      </w:pPr>
      <w:r>
        <w:rPr>
          <w:rFonts w:hint="default" w:ascii="Gotham Pro" w:hAnsi="Gotham Pro" w:cs="Gotham Pro"/>
          <w:sz w:val="20"/>
          <w:szCs w:val="20"/>
        </w:rPr>
        <w:t>таблица 1.6.3.-1</w:t>
      </w:r>
    </w:p>
    <w:tbl>
      <w:tblPr>
        <w:tblStyle w:val="3"/>
        <w:tblpPr w:leftFromText="180" w:rightFromText="180" w:vertAnchor="text" w:horzAnchor="page" w:tblpX="1414" w:tblpY="208"/>
        <w:tblOverlap w:val="never"/>
        <w:tblW w:w="510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898"/>
        <w:gridCol w:w="2508"/>
        <w:gridCol w:w="2112"/>
        <w:gridCol w:w="343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5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Населенный пункт</w:t>
            </w:r>
          </w:p>
        </w:tc>
        <w:tc>
          <w:tcPr>
            <w:tcW w:w="1260"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Адрес</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Кадастровый номер ОКС</w:t>
            </w:r>
          </w:p>
        </w:tc>
        <w:tc>
          <w:tcPr>
            <w:tcW w:w="1724"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кадастровый номер земельного участка,</w:t>
            </w:r>
          </w:p>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сведения о целевом назначении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5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260"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061"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1724"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53"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1260"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Первомайский</w:t>
            </w:r>
          </w:p>
        </w:tc>
        <w:tc>
          <w:tcPr>
            <w:tcW w:w="1061" w:type="pct"/>
            <w:shd w:val="clear" w:color="auto" w:fill="auto"/>
            <w:vAlign w:val="top"/>
          </w:tcPr>
          <w:p>
            <w:pPr>
              <w:pStyle w:val="11"/>
              <w:bidi w:val="0"/>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1724" w:type="pct"/>
            <w:shd w:val="clear" w:color="auto" w:fill="auto"/>
            <w:vAlign w:val="top"/>
          </w:tcPr>
          <w:p>
            <w:pPr>
              <w:pStyle w:val="11"/>
              <w:bidi w:val="0"/>
              <w:jc w:val="center"/>
              <w:rPr>
                <w:rFonts w:hint="default" w:ascii="Gotham Pro" w:hAnsi="Gotham Pro" w:cs="Gotham Pro"/>
                <w:sz w:val="20"/>
                <w:szCs w:val="20"/>
              </w:rPr>
            </w:pPr>
            <w:r>
              <w:rPr>
                <w:rFonts w:hint="default" w:ascii="Gotham Pro" w:hAnsi="Gotham Pro" w:cs="Gotham Pro"/>
                <w:sz w:val="20"/>
                <w:szCs w:val="20"/>
              </w:rPr>
              <w:t>03:05:100159:188</w:t>
            </w:r>
          </w:p>
          <w:p>
            <w:pPr>
              <w:pStyle w:val="11"/>
              <w:bidi w:val="0"/>
              <w:jc w:val="center"/>
              <w:rPr>
                <w:rFonts w:hint="default" w:ascii="Gotham Pro" w:hAnsi="Gotham Pro" w:cs="Gotham Pro"/>
                <w:sz w:val="20"/>
                <w:szCs w:val="20"/>
              </w:rPr>
            </w:pPr>
            <w:r>
              <w:rPr>
                <w:rFonts w:hint="default" w:ascii="Gotham Pro" w:hAnsi="Gotham Pro" w:cs="Gotham Pro"/>
                <w:sz w:val="20"/>
                <w:szCs w:val="20"/>
              </w:rPr>
              <w:t>Земли населённых пунктов</w:t>
            </w:r>
          </w:p>
          <w:p>
            <w:pPr>
              <w:pStyle w:val="11"/>
              <w:bidi w:val="0"/>
              <w:jc w:val="center"/>
              <w:rPr>
                <w:rFonts w:hint="default" w:ascii="Gotham Pro" w:hAnsi="Gotham Pro" w:cs="Gotham Pro"/>
                <w:sz w:val="20"/>
                <w:szCs w:val="20"/>
              </w:rPr>
            </w:pPr>
            <w:r>
              <w:rPr>
                <w:rFonts w:hint="default" w:ascii="Gotham Pro" w:hAnsi="Gotham Pro" w:cs="Gotham Pro"/>
                <w:sz w:val="20"/>
                <w:szCs w:val="20"/>
              </w:rPr>
              <w:t>коммунальное обслуживание</w:t>
            </w:r>
          </w:p>
          <w:p>
            <w:pPr>
              <w:pStyle w:val="11"/>
              <w:bidi w:val="0"/>
              <w:jc w:val="center"/>
              <w:rPr>
                <w:rFonts w:hint="default" w:ascii="Gotham Pro" w:hAnsi="Gotham Pro" w:cs="Gotham Pro" w:eastAsiaTheme="minorEastAsia"/>
                <w:sz w:val="20"/>
                <w:szCs w:val="20"/>
                <w:lang w:val="ru-RU" w:eastAsia="ru-RU" w:bidi="ar-SA"/>
              </w:rPr>
            </w:pPr>
          </w:p>
        </w:tc>
      </w:tr>
    </w:tbl>
    <w:p>
      <w:pPr>
        <w:pStyle w:val="11"/>
        <w:bidi w:val="0"/>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качестве топлива в отопительных котельных используется уголь.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Отопление жилых домов – печное, топливо - дрова.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Теплоснабжающей организацией, осуществляющей деятельность на территории  поселения, является муниципальное унитарное предприятие «Еравнинское многоотраслевое предприятие жилищно-коммунального хозяйства» (МУП «Еравнинское МОП ЖКХ).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Отдельные объекты общественной застройки имеют электрическое отопление.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1" w:leftChars="0" w:firstLine="439"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Электроснабжение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Электроснабжение МО СП «Сосново-Озерское» обеспечивается электросетями Филиала ПАО «Россети Сибир</w:t>
      </w:r>
      <w:bookmarkStart w:id="39" w:name="_GoBack"/>
      <w:bookmarkEnd w:id="39"/>
      <w:r>
        <w:rPr>
          <w:rFonts w:hint="default" w:ascii="Gotham Pro" w:hAnsi="Gotham Pro" w:cs="Gotham Pro"/>
          <w:sz w:val="24"/>
          <w:szCs w:val="24"/>
        </w:rPr>
        <w:t>ь» - «Бурятэнерго». Согласно письму Филиала ПАО «Россети Сибирь» - «Бурятэнерго» от 17.07.2023 № 1.2/05/900 на территории поселения расположены объекты электросетевого хозяйства, указанные в таблице 1.6.4.-1.</w:t>
      </w:r>
    </w:p>
    <w:p>
      <w:pPr>
        <w:pStyle w:val="11"/>
        <w:spacing w:line="276" w:lineRule="auto"/>
        <w:ind w:firstLine="567"/>
        <w:jc w:val="both"/>
        <w:rPr>
          <w:rFonts w:ascii="Times New Roman" w:hAnsi="Times New Roman" w:cs="Times New Roman"/>
          <w:sz w:val="28"/>
          <w:szCs w:val="28"/>
        </w:rPr>
      </w:pPr>
    </w:p>
    <w:p>
      <w:pPr>
        <w:pStyle w:val="11"/>
        <w:jc w:val="center"/>
        <w:rPr>
          <w:rFonts w:hint="default" w:ascii="Gotham Pro" w:hAnsi="Gotham Pro" w:cs="Gotham Pro"/>
          <w:sz w:val="20"/>
          <w:szCs w:val="20"/>
        </w:rPr>
      </w:pPr>
      <w:r>
        <w:rPr>
          <w:rFonts w:hint="default" w:ascii="Gotham Pro" w:hAnsi="Gotham Pro" w:cs="Gotham Pro"/>
          <w:sz w:val="20"/>
          <w:szCs w:val="20"/>
        </w:rPr>
        <w:t>Сведения об объектах электросетевого хозяйства, расположенных</w:t>
      </w:r>
    </w:p>
    <w:p>
      <w:pPr>
        <w:pStyle w:val="11"/>
        <w:jc w:val="center"/>
        <w:rPr>
          <w:rFonts w:hint="default" w:ascii="Gotham Pro" w:hAnsi="Gotham Pro" w:cs="Gotham Pro"/>
          <w:sz w:val="20"/>
          <w:szCs w:val="20"/>
        </w:rPr>
      </w:pPr>
      <w:r>
        <w:rPr>
          <w:rFonts w:hint="default" w:ascii="Gotham Pro" w:hAnsi="Gotham Pro" w:cs="Gotham Pro"/>
          <w:sz w:val="20"/>
          <w:szCs w:val="20"/>
        </w:rPr>
        <w:t xml:space="preserve"> на территории МО СП «Сосново-Озерское» Еравнинского района</w:t>
      </w:r>
    </w:p>
    <w:p>
      <w:pPr>
        <w:pStyle w:val="11"/>
        <w:jc w:val="right"/>
        <w:rPr>
          <w:rFonts w:hint="default" w:ascii="Gotham Pro" w:hAnsi="Gotham Pro" w:cs="Gotham Pro"/>
          <w:sz w:val="20"/>
          <w:szCs w:val="20"/>
        </w:rPr>
      </w:pPr>
      <w:r>
        <w:rPr>
          <w:rFonts w:hint="default" w:ascii="Gotham Pro" w:hAnsi="Gotham Pro" w:cs="Gotham Pro"/>
          <w:sz w:val="20"/>
          <w:szCs w:val="20"/>
        </w:rPr>
        <w:t>таблица 1.6.4.-1</w:t>
      </w:r>
    </w:p>
    <w:tbl>
      <w:tblPr>
        <w:tblStyle w:val="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178"/>
        <w:gridCol w:w="1104"/>
        <w:gridCol w:w="2496"/>
        <w:gridCol w:w="1140"/>
        <w:gridCol w:w="1392"/>
        <w:gridCol w:w="1044"/>
        <w:gridCol w:w="13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Населен</w:t>
            </w:r>
            <w:r>
              <w:rPr>
                <w:rFonts w:hint="default" w:ascii="Gotham Pro" w:hAnsi="Gotham Pro" w:cs="Gotham Pro"/>
                <w:sz w:val="20"/>
                <w:szCs w:val="20"/>
                <w:lang w:val="ru-RU"/>
              </w:rPr>
              <w:t>-</w:t>
            </w:r>
            <w:r>
              <w:rPr>
                <w:rFonts w:hint="default" w:ascii="Gotham Pro" w:hAnsi="Gotham Pro" w:cs="Gotham Pro"/>
                <w:sz w:val="20"/>
                <w:szCs w:val="20"/>
              </w:rPr>
              <w:t>ный пункт</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Объект</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Наименование объекта </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Протяженность, км</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Год ввода в эксплуатацию</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Износ, %</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Размер охранной зоны, 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60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56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286"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58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71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53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c>
          <w:tcPr>
            <w:tcW w:w="69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ВЛ-10 кВ</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ф.С3 Сосновоозерское</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7,717</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1977</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ТП-10/0,4 кВ</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ТП-103-С3 «Кабельная», ТП-104-С4 «Кулинария», ТП-105-С3 «Школа 2», ТП-109-С3 «Поликлиника», ТП-106-С3 «Райсоюз», ТП-107-С3 «Пекарня», ТП-108-С3 «Советская», ТП-110-С3 «Больница», ТП-111-С3 «РТМО», ТП-112-С3 «Могзонская», ТП-113-С3 «Б-Базара», ТП-114-С3 «Племстанция», ТП-115-С3 «Малая Сосновка», ТП-116-С3 «Садовая», ТП-117-С3 «Сампилова», ТП-118-С3 «Полевая»</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ф.С4 Сосновоозерское</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7,163</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1958</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ТП-119-С4 «Речная», ТП-120-С4 «Заготконтора», ТП-121-С4 «Маслозавод», ТП-122-С4 «Баня», ТП-123-С4 «ДК», ТП-243-С4 «Рыбзавод», ТП-264-С4 «ЦК», ТП-124-С4 «МТМ», ТП-126-С4 «ДЭУ», ТП-125-С4 «Василенко», ТП-246-С4 «СПТУ», ТП-128-С4 «УОС», ТП-339-С4 «Д/садик», ТП-127-С4 «ХДСУ», ТП-255-С4 «КСК».</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ф.С5 РРС</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10,668</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1972</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ТП-132-С5 «РЭС»</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ф.С6 Комсомольское</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103,773</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1980</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ТП-134-С6 «Совхозная пилорама», ТП-135-С6 «60-лет Бурятия», ТП-136-С6 «МПМК», ТП-137-С6 «СХТ», ТП-302-С6 «Госкорпорация», ТП-149-С6 «ВСН», ТП-321-С6 «Строительная», ТП-303-С6 «АЮС», ТП-202-С6 «Запад», ТП-169-С6 «АЗС».</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ф.С7 Домна</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63,45</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1978</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ТП-241-С7 «АЗС», ТП-253-С7 «Лесхоз», ТП-162-С7 «Межлесхоз», ТП-242-С7 «Убойный пункт», ТП-163-С7 «Каменка», ТП-323-С7 «Крона».</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ф.С8 Тулдун</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30,443</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1976</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ТП-172-С8 «Убойный», ТП-191-С8 «Восток 1»</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ф.С9 Ширинга</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33,701</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1978</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ТП-193-С9 «Восток 2»</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color w:val="000000"/>
                <w:sz w:val="20"/>
                <w:szCs w:val="20"/>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 xml:space="preserve">электропередачи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rPr>
              <w:t>ВЛ 0,4 кВ</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 Гарам</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ф.С6 Комсомольское</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103,773</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1980</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 Гарам</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ТП-244-С6 «Гарам»</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 Гарам</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color w:val="000000"/>
                <w:sz w:val="20"/>
                <w:szCs w:val="20"/>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 xml:space="preserve">электропередачи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rPr>
              <w:t>ВЛ 0,4 кВ</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ф.С6 Комсомольское</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103,773</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1975</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ТП-148-С6 «Укыр», ТП-254-С6 «Водокачка»</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color w:val="000000"/>
                <w:sz w:val="20"/>
                <w:szCs w:val="20"/>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 xml:space="preserve">электропередачи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rPr>
              <w:t>ВЛ 0,4 кВ</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электропередачи ВЛ 10 кВ ф.С7 Домна</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63,45</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1978</w:t>
            </w: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w:t>
            </w: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w:t>
            </w:r>
          </w:p>
        </w:tc>
        <w:tc>
          <w:tcPr>
            <w:tcW w:w="128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ТП-168-С7 «Гараж», ТП-167-С7 «Население Гурт», ТП-169-С7 «Школа», ТП-170-С7 «Клуб», ТП-266-С7 «Пилорама».</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w:t>
            </w: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0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56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ВЛ</w:t>
            </w:r>
          </w:p>
        </w:tc>
        <w:tc>
          <w:tcPr>
            <w:tcW w:w="1286" w:type="pct"/>
            <w:shd w:val="clear" w:color="auto" w:fill="auto"/>
            <w:vAlign w:val="top"/>
          </w:tcPr>
          <w:p>
            <w:pPr>
              <w:pStyle w:val="11"/>
              <w:jc w:val="center"/>
              <w:rPr>
                <w:rFonts w:hint="default" w:ascii="Gotham Pro" w:hAnsi="Gotham Pro" w:cs="Gotham Pro"/>
                <w:color w:val="000000"/>
                <w:sz w:val="20"/>
                <w:szCs w:val="20"/>
              </w:rPr>
            </w:pPr>
            <w:r>
              <w:rPr>
                <w:rFonts w:hint="default" w:ascii="Gotham Pro" w:hAnsi="Gotham Pro" w:cs="Gotham Pro"/>
                <w:sz w:val="20"/>
                <w:szCs w:val="20"/>
              </w:rPr>
              <w:t xml:space="preserve">Воздушная линия </w:t>
            </w:r>
            <w:r>
              <w:rPr>
                <w:rFonts w:hint="default" w:ascii="Gotham Pro" w:hAnsi="Gotham Pro" w:cs="Gotham Pro"/>
                <w:color w:val="000000"/>
                <w:sz w:val="20"/>
                <w:szCs w:val="20"/>
              </w:rPr>
              <w:t xml:space="preserve">электропередачи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rPr>
              <w:t>ВЛ 0,4 кВ</w:t>
            </w:r>
          </w:p>
        </w:tc>
        <w:tc>
          <w:tcPr>
            <w:tcW w:w="58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1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53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92"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bl>
    <w:p>
      <w:pPr>
        <w:pStyle w:val="11"/>
        <w:spacing w:line="276" w:lineRule="auto"/>
        <w:ind w:firstLine="567"/>
        <w:jc w:val="both"/>
        <w:rPr>
          <w:rFonts w:ascii="Times New Roman" w:hAnsi="Times New Roman" w:cs="Times New Roman"/>
          <w:sz w:val="28"/>
          <w:szCs w:val="28"/>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0" w:leftChars="0" w:firstLine="437" w:firstLineChars="182"/>
        <w:jc w:val="both"/>
        <w:textAlignment w:val="auto"/>
        <w:rPr>
          <w:rFonts w:hint="default" w:ascii="Gotham Pro" w:hAnsi="Gotham Pro" w:cs="Gotham Pro"/>
          <w:b/>
          <w:bCs/>
          <w:sz w:val="24"/>
          <w:szCs w:val="24"/>
        </w:rPr>
      </w:pPr>
      <w:r>
        <w:rPr>
          <w:rFonts w:hint="default" w:ascii="Gotham Pro" w:hAnsi="Gotham Pro" w:cs="Gotham Pro"/>
          <w:b/>
          <w:bCs/>
          <w:sz w:val="24"/>
          <w:szCs w:val="24"/>
        </w:rPr>
        <w:t>Связь</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 xml:space="preserve">Услуги сотовой связи в поселении предоставляют сотовые операторы </w:t>
      </w:r>
      <w:r>
        <w:rPr>
          <w:rFonts w:hint="default" w:ascii="Gotham Pro" w:hAnsi="Gotham Pro" w:cs="Gotham Pro"/>
          <w:sz w:val="24"/>
          <w:szCs w:val="24"/>
          <w:shd w:val="clear" w:color="auto"/>
        </w:rPr>
        <w:t>«Теле 2», «МТС» и «Мегафон»</w:t>
      </w:r>
      <w:r>
        <w:rPr>
          <w:rFonts w:hint="default" w:ascii="Gotham Pro" w:hAnsi="Gotham Pro" w:cs="Gotham Pro"/>
          <w:sz w:val="24"/>
          <w:szCs w:val="24"/>
          <w:shd w:val="clear"/>
        </w:rPr>
        <w:t>.</w:t>
      </w:r>
      <w:r>
        <w:rPr>
          <w:rFonts w:hint="default" w:ascii="Gotham Pro" w:hAnsi="Gotham Pro" w:cs="Gotham Pro"/>
          <w:sz w:val="24"/>
          <w:szCs w:val="24"/>
        </w:rPr>
        <w:t xml:space="preserve"> ПАО «Ростелеком» предоставляет населению и организациям стационарную связь, Интернет. По территории поселения волоконно-оптическая кабельная линия связи.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r>
        <w:rPr>
          <w:rFonts w:hint="default" w:ascii="Gotham Pro" w:hAnsi="Gotham Pro" w:cs="Gotham Pro"/>
          <w:sz w:val="24"/>
          <w:szCs w:val="24"/>
        </w:rPr>
        <w:t xml:space="preserve">Отделением АО «Почта России» обеспечивается почтовые услуги, включая доставку корреспонденции, прием от граждан платежей за разные виды услуг. Согласно сведениям, предоставленным Управлением Федеральной почтовой службы Республики Бурятия письмом от 11.07.2023 № Ф03-20/1362 (приложение к письму Минтранса РБ </w:t>
      </w:r>
      <w:r>
        <w:rPr>
          <w:rFonts w:hint="default" w:ascii="Gotham Pro" w:hAnsi="Gotham Pro" w:eastAsia="Arial CYR" w:cs="Gotham Pro"/>
          <w:bCs/>
          <w:sz w:val="24"/>
          <w:szCs w:val="24"/>
          <w:lang w:eastAsia="ar-SA"/>
        </w:rPr>
        <w:t xml:space="preserve">от </w:t>
      </w:r>
      <w:r>
        <w:rPr>
          <w:rStyle w:val="13"/>
          <w:rFonts w:hint="default" w:ascii="Gotham Pro" w:hAnsi="Gotham Pro" w:cs="Gotham Pro"/>
          <w:sz w:val="24"/>
          <w:szCs w:val="24"/>
        </w:rPr>
        <w:t>26.07.2023 № 09-06-13-И4927/23) на территории МО СП «Сосново-Озерское» расположены следующие объекты АО «Почта России»: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r>
        <w:rPr>
          <w:rFonts w:hint="default" w:ascii="Gotham Pro" w:hAnsi="Gotham Pro" w:cs="Gotham Pro"/>
          <w:sz w:val="24"/>
          <w:szCs w:val="24"/>
        </w:rPr>
        <w:t xml:space="preserve">- </w:t>
      </w:r>
      <w:r>
        <w:rPr>
          <w:rStyle w:val="13"/>
          <w:rFonts w:hint="default" w:ascii="Gotham Pro" w:hAnsi="Gotham Pro" w:cs="Gotham Pro"/>
          <w:sz w:val="24"/>
          <w:szCs w:val="24"/>
        </w:rPr>
        <w:t>здание (почтамт) площадью 308,5 м</w:t>
      </w:r>
      <w:r>
        <w:rPr>
          <w:rStyle w:val="13"/>
          <w:rFonts w:hint="default" w:ascii="Gotham Pro" w:hAnsi="Gotham Pro" w:cs="Gotham Pro"/>
          <w:sz w:val="24"/>
          <w:szCs w:val="24"/>
          <w:vertAlign w:val="superscript"/>
        </w:rPr>
        <w:t>2</w:t>
      </w:r>
      <w:r>
        <w:rPr>
          <w:rStyle w:val="13"/>
          <w:rFonts w:hint="default" w:ascii="Gotham Pro" w:hAnsi="Gotham Pro" w:cs="Gotham Pro"/>
          <w:sz w:val="24"/>
          <w:szCs w:val="24"/>
        </w:rPr>
        <w:t>, расположенное по адресу: с. Сосново-Озерское, ул. Первомайская, 123, кадастровый номер 03:05:100159:103;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r>
        <w:rPr>
          <w:rStyle w:val="13"/>
          <w:rFonts w:hint="default" w:ascii="Gotham Pro" w:hAnsi="Gotham Pro" w:cs="Gotham Pro"/>
          <w:sz w:val="24"/>
          <w:szCs w:val="24"/>
        </w:rPr>
        <w:t>- здание площадью 35,5 м</w:t>
      </w:r>
      <w:r>
        <w:rPr>
          <w:rStyle w:val="13"/>
          <w:rFonts w:hint="default" w:ascii="Gotham Pro" w:hAnsi="Gotham Pro" w:cs="Gotham Pro"/>
          <w:sz w:val="24"/>
          <w:szCs w:val="24"/>
          <w:vertAlign w:val="superscript"/>
        </w:rPr>
        <w:t>2</w:t>
      </w:r>
      <w:r>
        <w:rPr>
          <w:rStyle w:val="13"/>
          <w:rFonts w:hint="default" w:ascii="Gotham Pro" w:hAnsi="Gotham Pro" w:cs="Gotham Pro"/>
          <w:sz w:val="24"/>
          <w:szCs w:val="24"/>
        </w:rPr>
        <w:t>, расположенное по адресу: с. Сосново-Озерское, ул. Первомайская, 123, кадастровый номер 03:05:000000:1717;</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r>
        <w:rPr>
          <w:rStyle w:val="13"/>
          <w:rFonts w:hint="default" w:ascii="Gotham Pro" w:hAnsi="Gotham Pro" w:cs="Gotham Pro"/>
          <w:sz w:val="24"/>
          <w:szCs w:val="24"/>
        </w:rPr>
        <w:t>- здание (гараж) площадью 154,7 м</w:t>
      </w:r>
      <w:r>
        <w:rPr>
          <w:rStyle w:val="13"/>
          <w:rFonts w:hint="default" w:ascii="Gotham Pro" w:hAnsi="Gotham Pro" w:cs="Gotham Pro"/>
          <w:sz w:val="24"/>
          <w:szCs w:val="24"/>
          <w:vertAlign w:val="superscript"/>
        </w:rPr>
        <w:t>2</w:t>
      </w:r>
      <w:r>
        <w:rPr>
          <w:rStyle w:val="13"/>
          <w:rFonts w:hint="default" w:ascii="Gotham Pro" w:hAnsi="Gotham Pro" w:cs="Gotham Pro"/>
          <w:sz w:val="24"/>
          <w:szCs w:val="24"/>
        </w:rPr>
        <w:t>, расположенное по адресу: с. Сосново-Озерское, ул. Первомайская, 123, кадастровый номер 03:05:100159:95;</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Style w:val="13"/>
          <w:rFonts w:hint="default" w:ascii="Gotham Pro" w:hAnsi="Gotham Pro" w:cs="Gotham Pro"/>
          <w:sz w:val="24"/>
          <w:szCs w:val="24"/>
        </w:rPr>
      </w:pPr>
      <w:r>
        <w:rPr>
          <w:rStyle w:val="13"/>
          <w:rFonts w:hint="default" w:ascii="Gotham Pro" w:hAnsi="Gotham Pro" w:cs="Gotham Pro"/>
          <w:sz w:val="24"/>
          <w:szCs w:val="24"/>
        </w:rPr>
        <w:t>- земельный участок площадью 4386 м</w:t>
      </w:r>
      <w:r>
        <w:rPr>
          <w:rStyle w:val="13"/>
          <w:rFonts w:hint="default" w:ascii="Gotham Pro" w:hAnsi="Gotham Pro" w:cs="Gotham Pro"/>
          <w:sz w:val="24"/>
          <w:szCs w:val="24"/>
          <w:vertAlign w:val="superscript"/>
        </w:rPr>
        <w:t>2</w:t>
      </w:r>
      <w:r>
        <w:rPr>
          <w:rStyle w:val="13"/>
          <w:rFonts w:hint="default" w:ascii="Gotham Pro" w:hAnsi="Gotham Pro" w:cs="Gotham Pro"/>
          <w:sz w:val="24"/>
          <w:szCs w:val="24"/>
        </w:rPr>
        <w:t>, расположенный по адресу: с. Сосново-Озерское, ул. Первомайская, 123, кадастровый номер 03:05:100159:14, категория земель – земли населенных пунктов, разрешенное использование – для зданий 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0" w:leftChars="0" w:firstLine="437" w:firstLineChars="182"/>
        <w:jc w:val="both"/>
        <w:textAlignment w:val="auto"/>
        <w:rPr>
          <w:rFonts w:hint="default" w:ascii="Gotham Pro" w:hAnsi="Gotham Pro" w:cs="Gotham Pro"/>
          <w:b/>
          <w:bCs/>
          <w:sz w:val="24"/>
          <w:szCs w:val="24"/>
        </w:rPr>
      </w:pPr>
      <w:r>
        <w:rPr>
          <w:rFonts w:hint="default" w:ascii="Gotham Pro" w:hAnsi="Gotham Pro" w:cs="Gotham Pro"/>
          <w:b/>
          <w:bCs/>
          <w:sz w:val="24"/>
          <w:szCs w:val="24"/>
        </w:rPr>
        <w:t>Сбор и вывоз отходов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Обращение с отходами производства и потребления в целях предотвращения вредного воздействия отходов производства и потребления на здоровье человека и окружающую среду, а также вовлечения таких отходов в хозяйственный оборот в качестве дополнительных источников сырья, осуществляется в порядке, установленном Федеральным законом от 24.06.1998 № 89-ФЗ «Об отходах производства и потребления» (далее – Закон № 89-ФЗ) и Законом Республики Бурятия от 09.03.2010 № 1254-IV «Об отходах производства и потребления в Республике Бурятия» (Закон № 1254-IV).</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В силу статьи 24.6 Закона № 89-ФЗ и статьи 14.1 Закона № 1254-IV сбор, транспортирование, обработка, утилизация, обезвреживание, захоронение ТКО на территории Республики Бурятия обеспечиваются одним или несколькими региональными операторами в соответствии с региональной программой в области обращения с отходами и территориальной схемой обращения с отходами.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Постановлением Правительства Республики Бурятия от 30.05.2013 № 261 утверждена ГП РБ «Охрана окружающей среды и рациональное использование природных ресурсов», в состав которой входит подпрограмма № 7 «Региональная программа в области обращения с отходами, в том числе с твердыми коммунальными отходами». Цель подпрограммы: снижение и предотвращение негативного воздействия отходов на здоровье человека и окружающую среду. Для достижения указанной цели требуется решение следующих задач:</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1. Развитие инфраструктуры по раздельному сбору, транспортировке, обработке, утилизации, обезвреживанию, захоронению, экологически и санитарно-эпидемиологически безопасному размещению ТКО.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2. Вовлечение в хозяйственный оборот территорий, занятых местами несанкционированного размещения отходов.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3. Обеспечение доступа к информации в сфере обращения с отходами.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Приказом Министерства природных ресурсов Республики Бурятия от 29.04.2020 № 159-ПР утверждена Территориальная схема в области обращения с отходами, в том числе с твердыми коммунальными отходами, Республики Бурятия (далее - Территориальная схема).  Согласно разделу 6.1 Территориальной схемы Еравнинский район относится к зоне 1 деятельности региональных операторов по обращению с ТКО. На территории МО «Еравнинский район» оборудовано 46 мест накопления ТКО, содержащих 73 контейнера (0,2; 0,75; 2 м</w:t>
      </w:r>
      <w:r>
        <w:rPr>
          <w:rFonts w:hint="default" w:ascii="Gotham Pro" w:hAnsi="Gotham Pro" w:cs="Gotham Pro"/>
          <w:sz w:val="24"/>
          <w:szCs w:val="24"/>
          <w:vertAlign w:val="superscript"/>
        </w:rPr>
        <w:t>3</w:t>
      </w:r>
      <w:r>
        <w:rPr>
          <w:rFonts w:hint="default" w:ascii="Gotham Pro" w:hAnsi="Gotham Pro" w:cs="Gotham Pro"/>
          <w:sz w:val="24"/>
          <w:szCs w:val="24"/>
        </w:rPr>
        <w:t>). Для полного обеспечения района системой сбора и транспортировки ТКО, необходимо дополнительно 378 контейнера объемом 0,75 м</w:t>
      </w:r>
      <w:r>
        <w:rPr>
          <w:rFonts w:hint="default" w:ascii="Gotham Pro" w:hAnsi="Gotham Pro" w:cs="Gotham Pro"/>
          <w:sz w:val="24"/>
          <w:szCs w:val="24"/>
          <w:vertAlign w:val="superscript"/>
        </w:rPr>
        <w:t>3</w:t>
      </w:r>
      <w:r>
        <w:rPr>
          <w:rFonts w:hint="default" w:ascii="Gotham Pro" w:hAnsi="Gotham Pro" w:cs="Gotham Pro"/>
          <w:sz w:val="24"/>
          <w:szCs w:val="24"/>
        </w:rPr>
        <w:t xml:space="preserve"> (частота вывоза</w:t>
      </w:r>
      <w:r>
        <w:rPr>
          <w:rFonts w:hint="default" w:ascii="Gotham Pro" w:hAnsi="Gotham Pro" w:cs="Gotham Pro"/>
          <w:sz w:val="24"/>
          <w:szCs w:val="24"/>
          <w:lang w:val="ru-RU"/>
        </w:rPr>
        <w:t xml:space="preserve"> </w:t>
      </w:r>
      <w:r>
        <w:rPr>
          <w:rFonts w:hint="default" w:ascii="Gotham Pro" w:hAnsi="Gotham Pro" w:cs="Gotham Pro"/>
          <w:sz w:val="24"/>
          <w:szCs w:val="24"/>
        </w:rPr>
        <w:t>для расчета принимается 2 раза в неделю).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6" w:firstLineChars="182"/>
        <w:jc w:val="both"/>
        <w:textAlignment w:val="auto"/>
        <w:rPr>
          <w:rFonts w:hint="default" w:ascii="Gotham Pro" w:hAnsi="Gotham Pro" w:cs="Gotham Pro"/>
          <w:sz w:val="24"/>
          <w:szCs w:val="24"/>
        </w:rPr>
      </w:pPr>
      <w:r>
        <w:rPr>
          <w:rFonts w:hint="default" w:ascii="Gotham Pro" w:hAnsi="Gotham Pro" w:cs="Gotham Pro"/>
          <w:sz w:val="24"/>
          <w:szCs w:val="24"/>
        </w:rPr>
        <w:t>Расчет нормативного количества условных контейнеров и мест накопления ТКО в МО СП «Сосново-Озерское» приведен в таблице 1.6.6.-1 (согласно приложению 6.24 к Территориальной схеме (в редакции приказа Министерства природных ресурсов и экологии Республик Бурятия от 02.08.2022 № 295-ПР).</w:t>
      </w:r>
    </w:p>
    <w:p>
      <w:pPr>
        <w:pStyle w:val="11"/>
        <w:spacing w:line="276" w:lineRule="auto"/>
        <w:ind w:firstLine="567"/>
        <w:jc w:val="both"/>
        <w:rPr>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Расчет нормативного количества условных контейнеров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и мест накопления ТКО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1.6.6.-1</w:t>
      </w:r>
    </w:p>
    <w:tbl>
      <w:tblPr>
        <w:tblStyle w:val="3"/>
        <w:tblW w:w="0" w:type="auto"/>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3151"/>
        <w:gridCol w:w="1527"/>
        <w:gridCol w:w="1564"/>
        <w:gridCol w:w="1428"/>
        <w:gridCol w:w="200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151"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Наименование муниципального образования</w:t>
            </w:r>
          </w:p>
        </w:tc>
        <w:tc>
          <w:tcPr>
            <w:tcW w:w="1527"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color w:val="000000"/>
                <w:sz w:val="20"/>
                <w:szCs w:val="20"/>
              </w:rPr>
              <w:t>ИТОГО количество</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производи</w:t>
            </w:r>
            <w:r>
              <w:rPr>
                <w:rFonts w:hint="default" w:ascii="Gotham Pro" w:hAnsi="Gotham Pro" w:cs="Gotham Pro"/>
                <w:color w:val="000000"/>
                <w:sz w:val="20"/>
                <w:szCs w:val="20"/>
                <w:lang w:val="ru-RU"/>
              </w:rPr>
              <w:t>-</w:t>
            </w:r>
            <w:r>
              <w:rPr>
                <w:rFonts w:hint="default" w:ascii="Gotham Pro" w:hAnsi="Gotham Pro" w:cs="Gotham Pro"/>
                <w:color w:val="000000"/>
                <w:sz w:val="20"/>
                <w:szCs w:val="20"/>
              </w:rPr>
              <w:t>мых отходов</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м3</w:t>
            </w:r>
          </w:p>
        </w:tc>
        <w:tc>
          <w:tcPr>
            <w:tcW w:w="1564"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color w:val="000000"/>
                <w:sz w:val="20"/>
                <w:szCs w:val="20"/>
              </w:rPr>
              <w:t>Расчетное норматив</w:t>
            </w:r>
            <w:r>
              <w:rPr>
                <w:rFonts w:hint="default" w:ascii="Gotham Pro" w:hAnsi="Gotham Pro" w:cs="Gotham Pro"/>
                <w:color w:val="000000"/>
                <w:sz w:val="20"/>
                <w:szCs w:val="20"/>
                <w:lang w:val="ru-RU"/>
              </w:rPr>
              <w:t>-</w:t>
            </w:r>
            <w:r>
              <w:rPr>
                <w:rFonts w:hint="default" w:ascii="Gotham Pro" w:hAnsi="Gotham Pro" w:cs="Gotham Pro"/>
                <w:color w:val="000000"/>
                <w:sz w:val="20"/>
                <w:szCs w:val="20"/>
              </w:rPr>
              <w:t>ное</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количество условных</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контейнеров в МО, шт.</w:t>
            </w:r>
          </w:p>
        </w:tc>
        <w:tc>
          <w:tcPr>
            <w:tcW w:w="1428"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color w:val="000000"/>
                <w:sz w:val="20"/>
                <w:szCs w:val="20"/>
              </w:rPr>
              <w:t>Среднее количество</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контейне</w:t>
            </w:r>
            <w:r>
              <w:rPr>
                <w:rFonts w:hint="default" w:ascii="Gotham Pro" w:hAnsi="Gotham Pro" w:cs="Gotham Pro"/>
                <w:color w:val="000000"/>
                <w:sz w:val="20"/>
                <w:szCs w:val="20"/>
                <w:lang w:val="ru-RU"/>
              </w:rPr>
              <w:t>-</w:t>
            </w:r>
            <w:r>
              <w:rPr>
                <w:rFonts w:hint="default" w:ascii="Gotham Pro" w:hAnsi="Gotham Pro" w:cs="Gotham Pro"/>
                <w:color w:val="000000"/>
                <w:sz w:val="20"/>
                <w:szCs w:val="20"/>
              </w:rPr>
              <w:t>ров на</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площадке накопле</w:t>
            </w:r>
            <w:r>
              <w:rPr>
                <w:rFonts w:hint="default" w:ascii="Gotham Pro" w:hAnsi="Gotham Pro" w:cs="Gotham Pro"/>
                <w:color w:val="000000"/>
                <w:sz w:val="20"/>
                <w:szCs w:val="20"/>
                <w:lang w:val="ru-RU"/>
              </w:rPr>
              <w:t>-</w:t>
            </w:r>
            <w:r>
              <w:rPr>
                <w:rFonts w:hint="default" w:ascii="Gotham Pro" w:hAnsi="Gotham Pro" w:cs="Gotham Pro"/>
                <w:color w:val="000000"/>
                <w:sz w:val="20"/>
                <w:szCs w:val="20"/>
              </w:rPr>
              <w:t>ния</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по данным МО, шт.</w:t>
            </w:r>
          </w:p>
        </w:tc>
        <w:tc>
          <w:tcPr>
            <w:tcW w:w="2007"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color w:val="000000"/>
                <w:sz w:val="20"/>
                <w:szCs w:val="20"/>
              </w:rPr>
              <w:t>Количество мест накопления</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ТКО, необходимых для</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размещения нормативного</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количества условных</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контейнеров, шт.</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151"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1527"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color w:val="000000"/>
                <w:sz w:val="20"/>
                <w:szCs w:val="20"/>
                <w:lang w:val="ru-RU"/>
              </w:rPr>
            </w:pPr>
            <w:r>
              <w:rPr>
                <w:rFonts w:hint="default" w:ascii="Gotham Pro" w:hAnsi="Gotham Pro" w:cs="Gotham Pro"/>
                <w:color w:val="000000"/>
                <w:sz w:val="20"/>
                <w:szCs w:val="20"/>
                <w:lang w:val="ru-RU"/>
              </w:rPr>
              <w:t>2</w:t>
            </w:r>
          </w:p>
        </w:tc>
        <w:tc>
          <w:tcPr>
            <w:tcW w:w="1564"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color w:val="000000"/>
                <w:sz w:val="20"/>
                <w:szCs w:val="20"/>
                <w:lang w:val="ru-RU"/>
              </w:rPr>
            </w:pPr>
            <w:r>
              <w:rPr>
                <w:rFonts w:hint="default" w:ascii="Gotham Pro" w:hAnsi="Gotham Pro" w:cs="Gotham Pro"/>
                <w:color w:val="000000"/>
                <w:sz w:val="20"/>
                <w:szCs w:val="20"/>
                <w:lang w:val="ru-RU"/>
              </w:rPr>
              <w:t>3</w:t>
            </w:r>
          </w:p>
        </w:tc>
        <w:tc>
          <w:tcPr>
            <w:tcW w:w="1428"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color w:val="000000"/>
                <w:sz w:val="20"/>
                <w:szCs w:val="20"/>
                <w:lang w:val="ru-RU"/>
              </w:rPr>
            </w:pPr>
            <w:r>
              <w:rPr>
                <w:rFonts w:hint="default" w:ascii="Gotham Pro" w:hAnsi="Gotham Pro" w:cs="Gotham Pro"/>
                <w:color w:val="000000"/>
                <w:sz w:val="20"/>
                <w:szCs w:val="20"/>
                <w:lang w:val="ru-RU"/>
              </w:rPr>
              <w:t>4</w:t>
            </w:r>
          </w:p>
        </w:tc>
        <w:tc>
          <w:tcPr>
            <w:tcW w:w="2007"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color w:val="000000"/>
                <w:sz w:val="20"/>
                <w:szCs w:val="20"/>
                <w:lang w:val="ru-RU"/>
              </w:rPr>
            </w:pPr>
            <w:r>
              <w:rPr>
                <w:rFonts w:hint="default" w:ascii="Gotham Pro" w:hAnsi="Gotham Pro" w:cs="Gotham Pro"/>
                <w:color w:val="000000"/>
                <w:sz w:val="20"/>
                <w:szCs w:val="20"/>
                <w:lang w:val="ru-RU"/>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151"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color w:val="000000"/>
                <w:sz w:val="20"/>
                <w:szCs w:val="20"/>
              </w:rPr>
              <w:t>Сельское поселение</w:t>
            </w:r>
            <w:r>
              <w:rPr>
                <w:rFonts w:hint="default" w:ascii="Gotham Pro" w:hAnsi="Gotham Pro" w:cs="Gotham Pro"/>
                <w:color w:val="000000"/>
                <w:sz w:val="20"/>
                <w:szCs w:val="20"/>
              </w:rPr>
              <w:br w:type="textWrapping"/>
            </w:r>
            <w:r>
              <w:rPr>
                <w:rFonts w:hint="default" w:ascii="Gotham Pro" w:hAnsi="Gotham Pro" w:cs="Gotham Pro"/>
                <w:color w:val="000000"/>
                <w:sz w:val="20"/>
                <w:szCs w:val="20"/>
              </w:rPr>
              <w:t>«Сосново-Озерское»</w:t>
            </w:r>
          </w:p>
        </w:tc>
        <w:tc>
          <w:tcPr>
            <w:tcW w:w="1527"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13987,71</w:t>
            </w:r>
          </w:p>
        </w:tc>
        <w:tc>
          <w:tcPr>
            <w:tcW w:w="1564"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179</w:t>
            </w:r>
          </w:p>
        </w:tc>
        <w:tc>
          <w:tcPr>
            <w:tcW w:w="1428"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2</w:t>
            </w:r>
          </w:p>
        </w:tc>
        <w:tc>
          <w:tcPr>
            <w:tcW w:w="2007" w:type="dxa"/>
            <w:tcBorders>
              <w:top w:val="single" w:color="auto" w:sz="4" w:space="0"/>
              <w:left w:val="single" w:color="auto" w:sz="4" w:space="0"/>
              <w:bottom w:val="single" w:color="auto" w:sz="4" w:space="0"/>
              <w:right w:val="single" w:color="auto" w:sz="4" w:space="0"/>
            </w:tcBorders>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90</w:t>
            </w:r>
          </w:p>
        </w:tc>
      </w:tr>
    </w:tbl>
    <w:p>
      <w:pPr>
        <w:pStyle w:val="11"/>
        <w:spacing w:line="276" w:lineRule="auto"/>
        <w:ind w:firstLine="567"/>
        <w:jc w:val="right"/>
        <w:rPr>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В соответствии с действующей схемой потока (приложение 28 к </w:t>
      </w:r>
      <w:bookmarkStart w:id="6" w:name="_Hlk134776973"/>
      <w:r>
        <w:rPr>
          <w:rFonts w:hint="default" w:ascii="Gotham Pro" w:hAnsi="Gotham Pro" w:cs="Gotham Pro"/>
          <w:sz w:val="24"/>
          <w:szCs w:val="24"/>
        </w:rPr>
        <w:t>приказу Минприроды РБ от 02.08.2022 № 295-ПР</w:t>
      </w:r>
      <w:bookmarkEnd w:id="6"/>
      <w:r>
        <w:rPr>
          <w:rFonts w:hint="default" w:ascii="Gotham Pro" w:hAnsi="Gotham Pro" w:cs="Gotham Pro"/>
          <w:sz w:val="24"/>
          <w:szCs w:val="24"/>
        </w:rPr>
        <w:t>) отходы с территории МО СП «Сосново-Озерское» подлежат вывозу на полигон АО «Республиканский мусороперерабатывающий завод», имеющий местоположение: Республика Бурятия, Еравнинский район, МО «Эгитуйское», земельный участок с кадастровым номером 03:05:280101:834.</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6"/>
          <w:szCs w:val="26"/>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Транспортная инфраструктура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Протяженность автомобильных дорог общего пользования местного значения МО СП «Сосново-Озерское», составляет 50310 м. Параметры дорог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местного значения соответствуют нормативам IV категории, на 90 процентах общей протяженности автомобильных дорог отсутствует твердое покрытие.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Дорожная сеть муниципального образования в настоящее время обеспечивает круглогодичный бесперебойный проезд автомобилей. В то же время практически все дороги в той или иной степени характеризуются дефектами, связанными преимущественно с состоянием дорожного покрытия, водоотводных и иных сооружений.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На территории муниципального образования пассажирские перевозки по маршруту Сосново-Озерское-Улан-Удэ, осуществляют частные предприниматели.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Протяженность уличной сети территории поселения составляет 13 км </w:t>
      </w:r>
      <w:r>
        <w:rPr>
          <w:rFonts w:hint="default" w:ascii="Gotham Pro" w:hAnsi="Gotham Pro" w:cs="Gotham Pro"/>
          <w:sz w:val="24"/>
          <w:szCs w:val="24"/>
          <w:highlight w:val="none"/>
        </w:rPr>
        <w:t xml:space="preserve">(таблица 1.7.-1). Улично-дорожная сеть является основным образующим </w:t>
      </w:r>
      <w:r>
        <w:rPr>
          <w:rFonts w:hint="default" w:ascii="Gotham Pro" w:hAnsi="Gotham Pro" w:cs="Gotham Pro"/>
          <w:sz w:val="24"/>
          <w:szCs w:val="24"/>
        </w:rPr>
        <w:t xml:space="preserve">элементом транспортной, инженерной и социальной инфраструктуры населенных пунктов. </w:t>
      </w:r>
    </w:p>
    <w:p>
      <w:pPr>
        <w:pStyle w:val="11"/>
        <w:spacing w:line="276" w:lineRule="auto"/>
        <w:ind w:firstLine="567"/>
        <w:jc w:val="both"/>
        <w:rPr>
          <w:rFonts w:ascii="Times New Roman" w:hAnsi="Times New Roman" w:cs="Times New Roman"/>
          <w:sz w:val="28"/>
          <w:szCs w:val="28"/>
        </w:rPr>
      </w:pPr>
    </w:p>
    <w:p>
      <w:pPr>
        <w:pStyle w:val="11"/>
        <w:jc w:val="center"/>
        <w:rPr>
          <w:rFonts w:hint="default" w:ascii="Gotham Pro" w:hAnsi="Gotham Pro" w:cs="Gotham Pro"/>
          <w:sz w:val="20"/>
          <w:szCs w:val="20"/>
          <w:lang w:eastAsia="ar-SA"/>
        </w:rPr>
      </w:pPr>
      <w:r>
        <w:rPr>
          <w:rFonts w:hint="default" w:ascii="Gotham Pro" w:hAnsi="Gotham Pro" w:cs="Gotham Pro"/>
          <w:sz w:val="20"/>
          <w:szCs w:val="20"/>
          <w:lang w:eastAsia="ar-SA"/>
        </w:rPr>
        <w:t xml:space="preserve">Перечень автомобильных дорог </w:t>
      </w:r>
    </w:p>
    <w:p>
      <w:pPr>
        <w:pStyle w:val="11"/>
        <w:jc w:val="center"/>
        <w:rPr>
          <w:rFonts w:hint="default" w:ascii="Gotham Pro" w:hAnsi="Gotham Pro" w:cs="Gotham Pro"/>
          <w:sz w:val="20"/>
          <w:szCs w:val="20"/>
          <w:lang w:eastAsia="ar-SA"/>
        </w:rPr>
      </w:pPr>
      <w:r>
        <w:rPr>
          <w:rFonts w:hint="default" w:ascii="Gotham Pro" w:hAnsi="Gotham Pro" w:cs="Gotham Pro"/>
          <w:sz w:val="20"/>
          <w:szCs w:val="20"/>
          <w:lang w:eastAsia="ar-SA"/>
        </w:rPr>
        <w:t>общего пользования местного значения МО СП «</w:t>
      </w:r>
      <w:r>
        <w:rPr>
          <w:rFonts w:hint="default" w:ascii="Gotham Pro" w:hAnsi="Gotham Pro" w:cs="Gotham Pro"/>
          <w:bCs/>
          <w:sz w:val="20"/>
          <w:szCs w:val="20"/>
        </w:rPr>
        <w:t>Сосново-Озерское</w:t>
      </w:r>
      <w:r>
        <w:rPr>
          <w:rFonts w:hint="default" w:ascii="Gotham Pro" w:hAnsi="Gotham Pro" w:cs="Gotham Pro"/>
          <w:sz w:val="20"/>
          <w:szCs w:val="20"/>
          <w:lang w:eastAsia="ar-SA"/>
        </w:rPr>
        <w:t xml:space="preserve">» </w:t>
      </w:r>
    </w:p>
    <w:p>
      <w:pPr>
        <w:pStyle w:val="11"/>
        <w:spacing w:line="276" w:lineRule="auto"/>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1.7.-1</w:t>
      </w:r>
    </w:p>
    <w:tbl>
      <w:tblPr>
        <w:tblStyle w:val="3"/>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626"/>
        <w:gridCol w:w="2724"/>
        <w:gridCol w:w="2040"/>
        <w:gridCol w:w="1404"/>
        <w:gridCol w:w="1272"/>
        <w:gridCol w:w="15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23" w:type="pct"/>
            <w:vMerge w:val="restar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 п/п</w:t>
            </w:r>
          </w:p>
        </w:tc>
        <w:tc>
          <w:tcPr>
            <w:tcW w:w="1409" w:type="pct"/>
            <w:vMerge w:val="restar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Наименование автомобильной дороги общего пользования</w:t>
            </w:r>
          </w:p>
        </w:tc>
        <w:tc>
          <w:tcPr>
            <w:tcW w:w="1055" w:type="pct"/>
            <w:vMerge w:val="restar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Общая протяженность, км</w:t>
            </w:r>
          </w:p>
        </w:tc>
        <w:tc>
          <w:tcPr>
            <w:tcW w:w="221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В том числе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23"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1409"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1055"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Асфальто-бетонные</w:t>
            </w: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Грунто</w:t>
            </w:r>
            <w:r>
              <w:rPr>
                <w:rFonts w:hint="default" w:ascii="Gotham Pro" w:hAnsi="Gotham Pro" w:cs="Gotham Pro"/>
                <w:sz w:val="20"/>
                <w:szCs w:val="20"/>
                <w:lang w:val="ru-RU" w:eastAsia="ar-SA"/>
              </w:rPr>
              <w:t>-</w:t>
            </w:r>
            <w:r>
              <w:rPr>
                <w:rFonts w:hint="default" w:ascii="Gotham Pro" w:hAnsi="Gotham Pro" w:cs="Gotham Pro"/>
                <w:sz w:val="20"/>
                <w:szCs w:val="20"/>
                <w:lang w:eastAsia="ar-SA"/>
              </w:rPr>
              <w:t>щебеночные</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грунтовые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32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40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05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726"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65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82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6"/>
            <w:shd w:val="clear" w:color="auto" w:fill="auto"/>
            <w:vAlign w:val="top"/>
          </w:tcPr>
          <w:p>
            <w:pPr>
              <w:pStyle w:val="11"/>
              <w:jc w:val="center"/>
              <w:rPr>
                <w:rFonts w:hint="default" w:ascii="Gotham Pro" w:hAnsi="Gotham Pro" w:cs="Gotham Pro" w:eastAsiaTheme="minorEastAsia"/>
                <w:b/>
                <w:bCs/>
                <w:sz w:val="20"/>
                <w:szCs w:val="20"/>
                <w:lang w:val="en-US" w:eastAsia="ru-RU" w:bidi="ar-SA"/>
              </w:rPr>
            </w:pPr>
            <w:r>
              <w:rPr>
                <w:rFonts w:hint="default" w:ascii="Gotham Pro" w:hAnsi="Gotham Pro" w:cs="Gotham Pro"/>
                <w:b/>
                <w:bCs/>
                <w:sz w:val="20"/>
                <w:szCs w:val="20"/>
                <w:lang w:val="en-US" w:eastAsia="ru-RU" w:bidi="ar-SA"/>
              </w:rPr>
              <w:t>с. Сосново-Озерское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1</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Подъезд от автомобильной дороги Улан-Удэ-Романовка-Чита к  Аэропорту</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1000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1000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2</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Мелиоративная</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245</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245</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3</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Таежная</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450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450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4</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Ринчиндоржиева</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1250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ar-SA"/>
              </w:rPr>
              <w:t>1250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eastAsia="ar-SA"/>
              </w:rPr>
              <w:t>5</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Ул. Школьная </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1085</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1085</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6</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Ербанова</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400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400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7</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Заречная</w:t>
            </w:r>
          </w:p>
        </w:tc>
        <w:tc>
          <w:tcPr>
            <w:tcW w:w="105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8</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Ул. Дорожная </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1150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1150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9</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Ул. Целинная </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400</w:t>
            </w:r>
          </w:p>
        </w:tc>
        <w:tc>
          <w:tcPr>
            <w:tcW w:w="726"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400</w:t>
            </w:r>
          </w:p>
        </w:tc>
        <w:tc>
          <w:tcPr>
            <w:tcW w:w="82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10</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Бадеева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1085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1085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11</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Ул. Молодежная </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525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525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12</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Восточная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245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245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13</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Лесная 1</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14</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Номтоева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2150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2150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15</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Энергетиков</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1015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1015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16</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Юбилейная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1015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1015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17</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Гастелло</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1750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1750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18</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Ул. Гагарина </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19</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Сосновская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20</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Речная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21</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Ул.Строительная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1575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1575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22</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Домнинская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315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315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23</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Терешкова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560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560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24</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Еравнинская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1015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1015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25</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Трофимова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1610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1610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26</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Нагорная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527</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527</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27</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60 лет Бурятии</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28</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Улан-Еравнинская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1455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1455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29</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Полевая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30</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Западная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988</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988</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31</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Лесная 2</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32</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Солнечная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875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875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33</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Удинская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1015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1015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34</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Сельская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35</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Производственная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350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36</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Советская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910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910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37</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Цыдыпова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2100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2100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38</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Бартан-Базара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1225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1225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39</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Сампилова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40</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Октябрьская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1610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1610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41</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Комсомольская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1925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1925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42</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Ул. Матросова </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2750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2750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43</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Краснопартизанская</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3500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3500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44</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Ул. Василенко</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3010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3010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45</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Юбилейный</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100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46</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Дорожный</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250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47</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Трофимова</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48</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Кабельный</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350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350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49</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Стадионный</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1225</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1225</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323" w:type="pct"/>
            <w:shd w:val="clear" w:color="auto" w:fill="auto"/>
            <w:vAlign w:val="top"/>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50</w:t>
            </w:r>
          </w:p>
        </w:tc>
        <w:tc>
          <w:tcPr>
            <w:tcW w:w="1409"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Речной</w:t>
            </w:r>
          </w:p>
        </w:tc>
        <w:tc>
          <w:tcPr>
            <w:tcW w:w="105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420</w:t>
            </w:r>
          </w:p>
        </w:tc>
        <w:tc>
          <w:tcPr>
            <w:tcW w:w="726"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c>
          <w:tcPr>
            <w:tcW w:w="65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420</w:t>
            </w:r>
          </w:p>
        </w:tc>
        <w:tc>
          <w:tcPr>
            <w:tcW w:w="825"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0" w:type="auto"/>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51</w:t>
            </w:r>
          </w:p>
        </w:tc>
        <w:tc>
          <w:tcPr>
            <w:tcW w:w="0" w:type="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Школьный</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400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c>
          <w:tcPr>
            <w:tcW w:w="0" w:type="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400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0" w:type="auto"/>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52</w:t>
            </w:r>
          </w:p>
        </w:tc>
        <w:tc>
          <w:tcPr>
            <w:tcW w:w="0" w:type="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Бартан-Базара</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200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c>
          <w:tcPr>
            <w:tcW w:w="0" w:type="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0" w:type="auto"/>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53</w:t>
            </w:r>
          </w:p>
        </w:tc>
        <w:tc>
          <w:tcPr>
            <w:tcW w:w="0" w:type="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Совхозный</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700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c>
          <w:tcPr>
            <w:tcW w:w="0" w:type="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700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0" w:type="auto"/>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54</w:t>
            </w:r>
          </w:p>
        </w:tc>
        <w:tc>
          <w:tcPr>
            <w:tcW w:w="0" w:type="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Клубный</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1575</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c>
          <w:tcPr>
            <w:tcW w:w="0" w:type="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1575</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0" w:type="auto"/>
          </w:tcPr>
          <w:p>
            <w:pPr>
              <w:pStyle w:val="11"/>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55</w:t>
            </w:r>
          </w:p>
        </w:tc>
        <w:tc>
          <w:tcPr>
            <w:tcW w:w="0" w:type="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 Переулок 1</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sz w:val="20"/>
                <w:szCs w:val="20"/>
              </w:rPr>
              <w:t>120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c>
          <w:tcPr>
            <w:tcW w:w="0" w:type="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120</w:t>
            </w:r>
          </w:p>
        </w:tc>
        <w:tc>
          <w:tcPr>
            <w:tcW w:w="0" w:type="auto"/>
            <w:vAlign w:val="top"/>
          </w:tcPr>
          <w:p>
            <w:pPr>
              <w:pStyle w:val="11"/>
              <w:jc w:val="center"/>
              <w:rPr>
                <w:rFonts w:hint="default" w:ascii="Gotham Pro" w:hAnsi="Gotham Pro" w:cs="Gotham Pro" w:eastAsiaTheme="minorEastAsia"/>
                <w:b/>
                <w:sz w:val="20"/>
                <w:szCs w:val="20"/>
                <w:lang w:val="ru-RU" w:eastAsia="ru-RU" w:bidi="ar-SA"/>
              </w:rPr>
            </w:pPr>
          </w:p>
        </w:tc>
      </w:tr>
    </w:tbl>
    <w:p>
      <w:pPr>
        <w:pStyle w:val="11"/>
        <w:spacing w:line="276" w:lineRule="auto"/>
        <w:jc w:val="right"/>
        <w:rPr>
          <w:rFonts w:hint="default" w:ascii="Gotham Pro" w:hAnsi="Gotham Pro" w:cs="Gotham Pro"/>
          <w:sz w:val="20"/>
          <w:szCs w:val="20"/>
          <w:lang w:eastAsia="ar-SA"/>
        </w:rPr>
      </w:pPr>
    </w:p>
    <w:p>
      <w:pPr>
        <w:pStyle w:val="11"/>
        <w:keepNext w:val="0"/>
        <w:keepLines w:val="0"/>
        <w:pageBreakBefore w:val="0"/>
        <w:widowControl/>
        <w:kinsoku/>
        <w:wordWrap/>
        <w:overflowPunct/>
        <w:topLinePunct w:val="0"/>
        <w:bidi w:val="0"/>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Состояние сети дорог определяется своевременностью, полнотой и качеством выполнения работ по содержанию, ремонту, капитальному ремонту дорог и зависит напрямую от объемов финансирования и стратегии распределения финансовых ресурсов в условиях их ограниченных объемов. В ходе анализа технического состояния объектов выявляются многочисленные проблемы, требующие незамедлительного решения и больших финансовых средств, что зачастую несоизмеримо с возможностями бюджета муниципального образования «Сосново-Озерское».</w:t>
      </w:r>
    </w:p>
    <w:p>
      <w:pPr>
        <w:pStyle w:val="11"/>
        <w:keepNext w:val="0"/>
        <w:keepLines w:val="0"/>
        <w:pageBreakBefore w:val="0"/>
        <w:widowControl/>
        <w:kinsoku/>
        <w:wordWrap/>
        <w:overflowPunct/>
        <w:topLinePunct w:val="0"/>
        <w:bidi w:val="0"/>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Ремонт и содержание дорог и улиц является ключевой задачей органов местного самоуправления.</w:t>
      </w:r>
    </w:p>
    <w:p>
      <w:pPr>
        <w:keepNext w:val="0"/>
        <w:keepLines w:val="0"/>
        <w:pageBreakBefore w:val="0"/>
        <w:widowControl/>
        <w:suppressAutoHyphens/>
        <w:kinsoku/>
        <w:wordWrap/>
        <w:overflowPunct/>
        <w:topLinePunct w:val="0"/>
        <w:bidi w:val="0"/>
        <w:snapToGrid/>
        <w:spacing w:after="0" w:line="300" w:lineRule="auto"/>
        <w:ind w:left="0" w:leftChars="0" w:firstLine="440" w:firstLineChars="0"/>
        <w:jc w:val="both"/>
        <w:textAlignment w:val="auto"/>
        <w:rPr>
          <w:rFonts w:hint="default" w:ascii="Gotham Pro" w:hAnsi="Gotham Pro" w:eastAsia="Arial CYR" w:cs="Gotham Pro"/>
          <w:bCs/>
          <w:sz w:val="24"/>
          <w:szCs w:val="24"/>
          <w:lang w:eastAsia="ar-SA"/>
        </w:rPr>
      </w:pPr>
    </w:p>
    <w:p>
      <w:pPr>
        <w:keepNext w:val="0"/>
        <w:keepLines w:val="0"/>
        <w:pageBreakBefore w:val="0"/>
        <w:widowControl/>
        <w:suppressAutoHyphens/>
        <w:kinsoku/>
        <w:wordWrap/>
        <w:overflowPunct/>
        <w:topLinePunct w:val="0"/>
        <w:bidi w:val="0"/>
        <w:snapToGrid/>
        <w:spacing w:after="0" w:line="300" w:lineRule="auto"/>
        <w:ind w:left="0" w:leftChars="0" w:firstLine="440" w:firstLineChars="0"/>
        <w:jc w:val="both"/>
        <w:textAlignment w:val="auto"/>
        <w:rPr>
          <w:rFonts w:hint="default" w:ascii="Gotham Pro" w:hAnsi="Gotham Pro" w:eastAsia="Arial CYR" w:cs="Gotham Pro"/>
          <w:bCs/>
          <w:sz w:val="24"/>
          <w:szCs w:val="24"/>
          <w:lang w:eastAsia="ar-SA"/>
        </w:rPr>
      </w:pPr>
    </w:p>
    <w:p>
      <w:pPr>
        <w:keepNext w:val="0"/>
        <w:keepLines w:val="0"/>
        <w:pageBreakBefore w:val="0"/>
        <w:widowControl/>
        <w:suppressAutoHyphens/>
        <w:kinsoku/>
        <w:wordWrap/>
        <w:overflowPunct/>
        <w:topLinePunct w:val="0"/>
        <w:bidi w:val="0"/>
        <w:snapToGrid/>
        <w:spacing w:after="0" w:line="300" w:lineRule="auto"/>
        <w:ind w:left="0" w:leftChars="0" w:firstLine="440" w:firstLineChars="0"/>
        <w:jc w:val="both"/>
        <w:textAlignment w:val="auto"/>
        <w:rPr>
          <w:rFonts w:hint="default" w:ascii="Gotham Pro" w:hAnsi="Gotham Pro" w:eastAsia="Arial CYR" w:cs="Gotham Pro"/>
          <w:bCs/>
          <w:sz w:val="24"/>
          <w:szCs w:val="24"/>
          <w:lang w:eastAsia="ar-SA"/>
        </w:rPr>
      </w:pPr>
    </w:p>
    <w:p>
      <w:pPr>
        <w:keepNext w:val="0"/>
        <w:keepLines w:val="0"/>
        <w:pageBreakBefore w:val="0"/>
        <w:widowControl/>
        <w:suppressAutoHyphens/>
        <w:kinsoku/>
        <w:wordWrap/>
        <w:overflowPunct/>
        <w:topLinePunct w:val="0"/>
        <w:bidi w:val="0"/>
        <w:snapToGrid/>
        <w:spacing w:after="0" w:line="300" w:lineRule="auto"/>
        <w:ind w:left="0" w:leftChars="0" w:firstLine="440" w:firstLineChars="0"/>
        <w:jc w:val="both"/>
        <w:textAlignment w:val="auto"/>
        <w:rPr>
          <w:rFonts w:hint="default" w:ascii="Gotham Pro" w:hAnsi="Gotham Pro" w:eastAsia="Arial CYR" w:cs="Gotham Pro"/>
          <w:bCs/>
          <w:sz w:val="24"/>
          <w:szCs w:val="24"/>
          <w:lang w:eastAsia="ar-SA"/>
        </w:rPr>
      </w:pPr>
    </w:p>
    <w:p>
      <w:pPr>
        <w:keepNext w:val="0"/>
        <w:keepLines w:val="0"/>
        <w:pageBreakBefore w:val="0"/>
        <w:widowControl/>
        <w:suppressAutoHyphens/>
        <w:kinsoku/>
        <w:wordWrap/>
        <w:overflowPunct/>
        <w:topLinePunct w:val="0"/>
        <w:bidi w:val="0"/>
        <w:snapToGrid/>
        <w:spacing w:after="0" w:line="300" w:lineRule="auto"/>
        <w:ind w:left="0" w:leftChars="0" w:firstLine="440" w:firstLineChars="0"/>
        <w:jc w:val="both"/>
        <w:textAlignment w:val="auto"/>
        <w:rPr>
          <w:rFonts w:hint="default" w:ascii="Gotham Pro" w:hAnsi="Gotham Pro" w:eastAsia="Arial CYR" w:cs="Gotham Pro"/>
          <w:bCs/>
          <w:sz w:val="24"/>
          <w:szCs w:val="24"/>
          <w:lang w:eastAsia="ar-SA"/>
        </w:rPr>
      </w:pPr>
      <w:r>
        <w:rPr>
          <w:rFonts w:hint="default" w:ascii="Gotham Pro" w:hAnsi="Gotham Pro" w:eastAsia="Arial CYR" w:cs="Gotham Pro"/>
          <w:bCs/>
          <w:sz w:val="24"/>
          <w:szCs w:val="24"/>
          <w:lang w:eastAsia="ar-SA"/>
        </w:rPr>
        <w:t xml:space="preserve">Согласно письму Минтранса РБ от </w:t>
      </w:r>
      <w:r>
        <w:rPr>
          <w:rStyle w:val="13"/>
          <w:rFonts w:hint="default" w:ascii="Gotham Pro" w:hAnsi="Gotham Pro" w:cs="Gotham Pro"/>
          <w:sz w:val="24"/>
          <w:szCs w:val="24"/>
        </w:rPr>
        <w:t>26.07.2023 № 09-06-13-И4927/23 в</w:t>
      </w:r>
      <w:r>
        <w:rPr>
          <w:rFonts w:hint="default" w:ascii="Gotham Pro" w:hAnsi="Gotham Pro" w:eastAsia="Arial CYR" w:cs="Gotham Pro"/>
          <w:bCs/>
          <w:sz w:val="24"/>
          <w:szCs w:val="24"/>
          <w:lang w:eastAsia="ar-SA"/>
        </w:rPr>
        <w:t xml:space="preserve"> с. Сосново-Озерское  расположена посадочная площадка, собственник – РФ. Технические характеристики: грунтовая взлетно-посадочная полоса, длина 1600 м, ширина 80 м. кадастровый номер сооружения – 03:05:000000:1781.</w:t>
      </w:r>
    </w:p>
    <w:p>
      <w:pPr>
        <w:pStyle w:val="11"/>
        <w:keepNext w:val="0"/>
        <w:keepLines w:val="0"/>
        <w:pageBreakBefore w:val="0"/>
        <w:widowControl/>
        <w:kinsoku/>
        <w:wordWrap/>
        <w:overflowPunct/>
        <w:topLinePunct w:val="0"/>
        <w:bidi w:val="0"/>
        <w:snapToGrid/>
        <w:spacing w:line="300" w:lineRule="auto"/>
        <w:ind w:firstLine="567"/>
        <w:jc w:val="both"/>
        <w:textAlignment w:val="auto"/>
        <w:rPr>
          <w:rFonts w:hint="default" w:ascii="Gotham Pro" w:hAnsi="Gotham Pro" w:cs="Gotham Pro"/>
          <w:sz w:val="26"/>
          <w:szCs w:val="26"/>
        </w:rPr>
      </w:pPr>
    </w:p>
    <w:p>
      <w:pPr>
        <w:pStyle w:val="11"/>
        <w:keepNext w:val="0"/>
        <w:keepLines w:val="0"/>
        <w:pageBreakBefore w:val="0"/>
        <w:widowControl/>
        <w:numPr>
          <w:ilvl w:val="1"/>
          <w:numId w:val="2"/>
        </w:numPr>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Объекты культурного, археологического, исторического наследия</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Отношения в области сохранения, использования, популяризации и государственной охраны объектов культурного наследия (памятников истории и культуры) народов РФ регулируются Федеральным законом от 25.06.2002 № 73-ФЗ «Об объектах культурного наследия (памятниках истории и культуры) народов Российской Федерации» (далее – Закон об объектах культурного наследия). Законом гарантируется сохранность объектов культурного наследия (памятников истории и культуры) народов РФ поскольку они представляют собой уникальную ценность для всего многонационального народа РФ и являются неотъемлемой частью всемирного культурного наследия. Государственная охрана объектов культурного наследия (памятников истории и культуры) является одной из приоритетных задач органов государственной власти РФ, органов государственной власти субъектов РФ и органов местного самоуправления.</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 объектам культурного наследия (памятникам истории и культуры) народов РФ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Объекты культурного наследия подразделяются на следующие категории историко-культурного значения:</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объекты культурного наследия федерального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Российской Федерации, а также объекты археологического наследия;</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объекты культурного наследия регионального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субъекта РФ;</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объекты культурного наследия местного (муниципального) значения - объекты, обладающие историко-архитектурной, художественной, научной и мемориальной ценностью, имеющие особое значение для истории и культуры муниципального образования.</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Письмом </w:t>
      </w:r>
      <w:r>
        <w:rPr>
          <w:rFonts w:hint="default" w:ascii="Gotham Pro" w:hAnsi="Gotham Pro" w:cs="Gotham Pro"/>
          <w:sz w:val="24"/>
          <w:szCs w:val="24"/>
          <w:shd w:val="clear" w:color="auto" w:fill="FFFFFF" w:themeFill="background1"/>
        </w:rPr>
        <w:t xml:space="preserve">от </w:t>
      </w:r>
      <w:r>
        <w:rPr>
          <w:rFonts w:hint="default" w:ascii="Gotham Pro" w:hAnsi="Gotham Pro" w:cs="Gotham Pro"/>
          <w:sz w:val="24"/>
          <w:szCs w:val="24"/>
        </w:rPr>
        <w:t xml:space="preserve">25.07.2023 № 01.22-10-И1531/23 Комитет государственной охраны объектов культурного наследия Администрации Главы Республики Бурятия и Правительства Республики Бурятия представил информацию </w:t>
      </w:r>
      <w:r>
        <w:rPr>
          <w:rFonts w:hint="default" w:ascii="Gotham Pro" w:hAnsi="Gotham Pro" w:cs="Gotham Pro"/>
          <w:bCs/>
          <w:sz w:val="24"/>
          <w:szCs w:val="24"/>
        </w:rPr>
        <w:t xml:space="preserve">об объектах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выявленных объектах культурного наследия, их местоположении, территориях, зонах охраны и т.д., расположенных </w:t>
      </w:r>
      <w:r>
        <w:rPr>
          <w:rFonts w:hint="default" w:ascii="Gotham Pro" w:hAnsi="Gotham Pro" w:cs="Gotham Pro"/>
          <w:sz w:val="24"/>
          <w:szCs w:val="24"/>
        </w:rPr>
        <w:t>на территории МО СП «Сосново-Озерское». Согласно данной информации на территории поселения имеются:</w:t>
      </w:r>
    </w:p>
    <w:p>
      <w:pPr>
        <w:pStyle w:val="16"/>
        <w:keepNext w:val="0"/>
        <w:keepLines w:val="0"/>
        <w:pageBreakBefore w:val="0"/>
        <w:widowControl/>
        <w:kinsoku/>
        <w:wordWrap/>
        <w:overflowPunct/>
        <w:topLinePunct w:val="0"/>
        <w:bidi w:val="0"/>
        <w:snapToGrid/>
        <w:spacing w:line="300" w:lineRule="auto"/>
        <w:ind w:left="0" w:leftChars="0" w:firstLine="439" w:firstLineChars="183"/>
        <w:textAlignment w:val="auto"/>
        <w:rPr>
          <w:rFonts w:hint="default" w:ascii="Gotham Pro" w:hAnsi="Gotham Pro" w:cs="Gotham Pro"/>
          <w:i/>
          <w:sz w:val="24"/>
          <w:szCs w:val="24"/>
        </w:rPr>
      </w:pPr>
      <w:r>
        <w:rPr>
          <w:rFonts w:hint="default" w:ascii="Gotham Pro" w:hAnsi="Gotham Pro" w:cs="Gotham Pro"/>
          <w:i/>
          <w:sz w:val="24"/>
          <w:szCs w:val="24"/>
        </w:rPr>
        <w:t>- о</w:t>
      </w:r>
      <w:r>
        <w:rPr>
          <w:rFonts w:hint="default" w:ascii="Gotham Pro" w:hAnsi="Gotham Pro" w:cs="Gotham Pro"/>
          <w:bCs/>
          <w:i/>
          <w:sz w:val="24"/>
          <w:szCs w:val="24"/>
        </w:rPr>
        <w:t>бъекты культурного наследия федерального значения:</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1. Неолитическая стоянка Тулдун I. Адрес: РБ, Еравнинский район, на перешейке между озерами Большая и Малая Еравна, у дороги, ведущей в поселок Тулдун.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не утверждены.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52,66144054°; E111,56759752°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52,66196112° E111,57454981°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52,63800801° E111,58218874°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52,63587242° E111,57575143°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2. Стоянка с находками эпохи неолита – бронзы. Адрес: РБ, Еравнинский район, в 5,15 км от северо-восточной окраины села Сосново-Озерское, на перешейке между озерами Сосновое и Хаймисан (Сухое озеро).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не утверждены.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52,58364832° E111,56066669°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52,58454140° E111,56302704°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52,58125583° E111,56607402°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52,58031705° E111,56364931°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 xml:space="preserve">- объекты культурного наследия регионального значения: </w:t>
      </w:r>
    </w:p>
    <w:p>
      <w:pPr>
        <w:pStyle w:val="11"/>
        <w:keepNext w:val="0"/>
        <w:keepLines w:val="0"/>
        <w:pageBreakBefore w:val="0"/>
        <w:widowControl/>
        <w:numPr>
          <w:ilvl w:val="0"/>
          <w:numId w:val="10"/>
        </w:numPr>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Памятник воинам-землякам, погибшим на фронтах Великой Отечественной войны (РБ, Еравнинский район, с. Домна, улица Школьная). Кадастровый номер сооружения – 03:05:040101:278. Памятник расположен на земельном участке с кадастровым номером 03:05:040101:277, категория </w:t>
      </w:r>
    </w:p>
    <w:p>
      <w:pPr>
        <w:pStyle w:val="11"/>
        <w:keepNext w:val="0"/>
        <w:keepLines w:val="0"/>
        <w:pageBreakBefore w:val="0"/>
        <w:widowControl/>
        <w:numPr>
          <w:ilvl w:val="0"/>
          <w:numId w:val="0"/>
        </w:numPr>
        <w:kinsoku/>
        <w:wordWrap/>
        <w:overflowPunct/>
        <w:topLinePunct w:val="0"/>
        <w:bidi w:val="0"/>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ilvl w:val="0"/>
          <w:numId w:val="0"/>
        </w:numPr>
        <w:kinsoku/>
        <w:wordWrap/>
        <w:overflowPunct/>
        <w:topLinePunct w:val="0"/>
        <w:bidi w:val="0"/>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ilvl w:val="0"/>
          <w:numId w:val="0"/>
        </w:numPr>
        <w:kinsoku/>
        <w:wordWrap/>
        <w:overflowPunct/>
        <w:topLinePunct w:val="0"/>
        <w:bidi w:val="0"/>
        <w:snapToGrid/>
        <w:spacing w:line="300" w:lineRule="auto"/>
        <w:ind w:leftChars="183"/>
        <w:jc w:val="both"/>
        <w:textAlignment w:val="auto"/>
        <w:rPr>
          <w:rFonts w:hint="default" w:ascii="Gotham Pro" w:hAnsi="Gotham Pro" w:cs="Gotham Pro"/>
          <w:sz w:val="24"/>
          <w:szCs w:val="24"/>
        </w:rPr>
      </w:pPr>
    </w:p>
    <w:p>
      <w:pPr>
        <w:pStyle w:val="11"/>
        <w:keepNext w:val="0"/>
        <w:keepLines w:val="0"/>
        <w:pageBreakBefore w:val="0"/>
        <w:widowControl/>
        <w:numPr>
          <w:ilvl w:val="0"/>
          <w:numId w:val="0"/>
        </w:numPr>
        <w:kinsoku/>
        <w:wordWrap/>
        <w:overflowPunct/>
        <w:topLinePunct w:val="0"/>
        <w:bidi w:val="0"/>
        <w:snapToGrid/>
        <w:spacing w:line="300" w:lineRule="auto"/>
        <w:jc w:val="both"/>
        <w:textAlignment w:val="auto"/>
        <w:rPr>
          <w:rFonts w:hint="default" w:ascii="Gotham Pro" w:hAnsi="Gotham Pro" w:cs="Gotham Pro"/>
          <w:sz w:val="24"/>
          <w:szCs w:val="24"/>
        </w:rPr>
      </w:pPr>
      <w:r>
        <w:rPr>
          <w:rFonts w:hint="default" w:ascii="Gotham Pro" w:hAnsi="Gotham Pro" w:cs="Gotham Pro" w:eastAsiaTheme="minorHAnsi"/>
          <w:sz w:val="24"/>
          <w:szCs w:val="24"/>
          <w:lang w:eastAsia="en-US"/>
        </w:rPr>
        <w:t>земель – земли населенных пунктов, вид разрешенного использования – культурное развитие (памятник Великой Отечественной войны)</w:t>
      </w:r>
      <w:r>
        <w:rPr>
          <w:rFonts w:hint="default" w:ascii="Gotham Pro" w:hAnsi="Gotham Pro" w:cs="Gotham Pro"/>
          <w:sz w:val="24"/>
          <w:szCs w:val="24"/>
        </w:rPr>
        <w:t xml:space="preserve">;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Могила Героя Советского Союза И.М.Трофимова (1904-1975 гг.) (РБ, Еравнинский район, с. Сосново-Озерское, кладбище). Кадастровый номер сооружения – 03:05:100112:150, находящегося в границах т</w:t>
      </w:r>
      <w:r>
        <w:rPr>
          <w:rFonts w:hint="default" w:ascii="Gotham Pro" w:hAnsi="Gotham Pro" w:cs="Gotham Pro"/>
          <w:bCs/>
          <w:color w:val="000000"/>
          <w:sz w:val="24"/>
          <w:szCs w:val="24"/>
          <w:shd w:val="clear" w:color="auto" w:fill="FFFFFF"/>
        </w:rPr>
        <w:t xml:space="preserve">ерритории объекта культурного наследия 03:05-8.14 - </w:t>
      </w:r>
      <w:r>
        <w:rPr>
          <w:rFonts w:hint="default" w:ascii="Gotham Pro" w:hAnsi="Gotham Pro" w:cs="Gotham Pro"/>
          <w:color w:val="000000"/>
          <w:sz w:val="24"/>
          <w:szCs w:val="24"/>
          <w:shd w:val="clear" w:color="auto" w:fill="FFFFFF"/>
        </w:rPr>
        <w:t xml:space="preserve">территория объекта культурного наследия регионального значения «Могила Героя Советского Союза И. М. Трофимова (1902-1975 гг.)». </w:t>
      </w:r>
      <w:r>
        <w:rPr>
          <w:rFonts w:hint="default" w:ascii="Gotham Pro" w:hAnsi="Gotham Pro" w:cs="Gotham Pro"/>
          <w:sz w:val="24"/>
          <w:szCs w:val="24"/>
        </w:rPr>
        <w:t>Памятник находится на территории кладбища, которое расположено в границах земельного участка с кадастровым номером 03:05:000000:2687.</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Могила командира партизанского отряда Н.М. Василенко (1892-1952 гг.) (РБ, Еравнинский район, с. Сосново-Озерское, кладбище). Кадастровый номер сооружения – 03:05:100112:151, находящегося  в границах т</w:t>
      </w:r>
      <w:r>
        <w:rPr>
          <w:rFonts w:hint="default" w:ascii="Gotham Pro" w:hAnsi="Gotham Pro" w:cs="Gotham Pro"/>
          <w:bCs/>
          <w:color w:val="000000"/>
          <w:sz w:val="24"/>
          <w:szCs w:val="24"/>
          <w:shd w:val="clear" w:color="auto" w:fill="FFFFFF"/>
        </w:rPr>
        <w:t xml:space="preserve">ерритории объекта культурного наследия 03:05-8.2 - </w:t>
      </w:r>
      <w:r>
        <w:rPr>
          <w:rFonts w:hint="default" w:ascii="Gotham Pro" w:hAnsi="Gotham Pro" w:cs="Gotham Pro"/>
          <w:color w:val="000000"/>
          <w:sz w:val="24"/>
          <w:szCs w:val="24"/>
          <w:shd w:val="clear" w:color="auto" w:fill="FFFFFF"/>
        </w:rPr>
        <w:t>территория объекта культурного наследия регионального значения «Могила командира партизанского отряда Н. М. Василенко (1892-1952 гг.)</w:t>
      </w:r>
      <w:r>
        <w:rPr>
          <w:rFonts w:hint="default" w:ascii="Gotham Pro" w:hAnsi="Gotham Pro" w:cs="Gotham Pro"/>
          <w:bCs/>
          <w:color w:val="000000"/>
          <w:sz w:val="24"/>
          <w:szCs w:val="24"/>
          <w:shd w:val="clear" w:color="auto" w:fill="FFFFFF"/>
        </w:rPr>
        <w:t xml:space="preserve">». </w:t>
      </w:r>
      <w:r>
        <w:rPr>
          <w:rFonts w:hint="default" w:ascii="Gotham Pro" w:hAnsi="Gotham Pro" w:cs="Gotham Pro"/>
          <w:sz w:val="24"/>
          <w:szCs w:val="24"/>
        </w:rPr>
        <w:t xml:space="preserve">Памятник находится на территории кладбища, которое расположено в границах земельного участка с кадастровым номером 03:05:000000:2687.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sz w:val="24"/>
          <w:szCs w:val="24"/>
        </w:rPr>
        <w:t xml:space="preserve">4. </w:t>
      </w:r>
      <w:r>
        <w:rPr>
          <w:rFonts w:hint="default" w:ascii="Gotham Pro" w:hAnsi="Gotham Pro" w:cs="Gotham Pro" w:eastAsiaTheme="minorHAnsi"/>
          <w:sz w:val="24"/>
          <w:szCs w:val="24"/>
          <w:lang w:eastAsia="en-US"/>
        </w:rPr>
        <w:t xml:space="preserve">Памятник воинам-землякам, погибшим на фронтах Великой Отечественной войны (РБ, Еравнинский район, с. Укыр, ул. Центральная). Кадастровый номер сооружения – 03:05:140101:216, находящегося в границах территории объекта культурного наследия - </w:t>
      </w:r>
      <w:r>
        <w:rPr>
          <w:rFonts w:hint="default" w:ascii="Gotham Pro" w:hAnsi="Gotham Pro" w:cs="Gotham Pro"/>
          <w:color w:val="000000"/>
          <w:sz w:val="24"/>
          <w:szCs w:val="24"/>
          <w:shd w:val="clear" w:color="auto" w:fill="FFFFFF"/>
        </w:rPr>
        <w:t>территория объекта культурного наследия регионального значения «Памятник воинам-землякам, погибшим на фронтах Великой Отечественной войны с. Укыр»</w:t>
      </w:r>
      <w:r>
        <w:rPr>
          <w:rFonts w:hint="default" w:ascii="Gotham Pro" w:hAnsi="Gotham Pro" w:cs="Gotham Pro" w:eastAsiaTheme="minorHAnsi"/>
          <w:sz w:val="24"/>
          <w:szCs w:val="24"/>
          <w:lang w:eastAsia="en-US"/>
        </w:rPr>
        <w:t xml:space="preserve">. Памятник расположен на земельных участках с кадастровыми номерами 03:05:140101:212 и 03:05:140101:214, категория земель – земли населенных пунктов, вид разрешенного использования – культурное развитие (памятник Великой Отечественной войны).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xml:space="preserve">5. Памятник воинам-землякам, павшим на фронтах Великой Отечественной войны (1941-1945). Памятник находится по адресу: РБ, Еравнинский район, с. Сосново-Озерское, ул. Первомайская. </w:t>
      </w:r>
      <w:r>
        <w:rPr>
          <w:rFonts w:hint="default" w:ascii="Gotham Pro" w:hAnsi="Gotham Pro" w:cs="Gotham Pro"/>
          <w:sz w:val="24"/>
          <w:szCs w:val="24"/>
        </w:rPr>
        <w:t>Кадастровый номер сооружения – 03:05:100137:367, находящегося  в границах т</w:t>
      </w:r>
      <w:r>
        <w:rPr>
          <w:rFonts w:hint="default" w:ascii="Gotham Pro" w:hAnsi="Gotham Pro" w:cs="Gotham Pro"/>
          <w:bCs/>
          <w:color w:val="000000"/>
          <w:sz w:val="24"/>
          <w:szCs w:val="24"/>
          <w:shd w:val="clear" w:color="auto" w:fill="FFFFFF"/>
        </w:rPr>
        <w:t xml:space="preserve">ерритории объекта культурного наследия 03:05-8.1 - </w:t>
      </w:r>
      <w:r>
        <w:rPr>
          <w:rFonts w:hint="default" w:ascii="Gotham Pro" w:hAnsi="Gotham Pro" w:cs="Gotham Pro"/>
          <w:color w:val="000000"/>
          <w:sz w:val="24"/>
          <w:szCs w:val="24"/>
          <w:shd w:val="clear" w:color="auto" w:fill="FFFFFF"/>
        </w:rPr>
        <w:t>территория объекта культурного наследия «</w:t>
      </w:r>
      <w:r>
        <w:rPr>
          <w:rFonts w:hint="default" w:ascii="Gotham Pro" w:hAnsi="Gotham Pro" w:cs="Gotham Pro" w:eastAsiaTheme="minorHAnsi"/>
          <w:sz w:val="24"/>
          <w:szCs w:val="24"/>
          <w:lang w:eastAsia="en-US"/>
        </w:rPr>
        <w:t>Памятник воинам-землякам, павшим на фронтах Великой Отечественной войны с. Сосново-Озерское</w:t>
      </w:r>
      <w:r>
        <w:rPr>
          <w:rFonts w:hint="default" w:ascii="Gotham Pro" w:hAnsi="Gotham Pro" w:cs="Gotham Pro"/>
          <w:bCs/>
          <w:color w:val="000000"/>
          <w:sz w:val="24"/>
          <w:szCs w:val="24"/>
          <w:shd w:val="clear" w:color="auto" w:fill="FFFFFF"/>
        </w:rPr>
        <w:t xml:space="preserve">». </w:t>
      </w:r>
      <w:r>
        <w:rPr>
          <w:rFonts w:hint="default" w:ascii="Gotham Pro" w:hAnsi="Gotham Pro" w:cs="Gotham Pro"/>
          <w:sz w:val="24"/>
          <w:szCs w:val="24"/>
        </w:rPr>
        <w:t xml:space="preserve">Памятник расположен на земельном участке с кадастровым номером 03:05:100137:358, категория </w:t>
      </w:r>
      <w:r>
        <w:rPr>
          <w:rFonts w:hint="default" w:ascii="Gotham Pro" w:hAnsi="Gotham Pro" w:cs="Gotham Pro" w:eastAsiaTheme="minorHAnsi"/>
          <w:sz w:val="24"/>
          <w:szCs w:val="24"/>
          <w:lang w:eastAsia="en-US"/>
        </w:rPr>
        <w:t>земель – земли населенных пунктов, вид разрешенного использования – культурное развитие (памятник Великой Отечественной войны)</w:t>
      </w:r>
      <w:r>
        <w:rPr>
          <w:rFonts w:hint="default" w:ascii="Gotham Pro" w:hAnsi="Gotham Pro" w:cs="Gotham Pro"/>
          <w:sz w:val="24"/>
          <w:szCs w:val="24"/>
        </w:rPr>
        <w:t>.</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данных памятников утверждены приказом Администрации Главы Республики Бурятия и Правительства Республики Бурятия от 13.07.2020 № 244д «Об утверждении границ территорий объектов культурного наследия регионального значения, расположенных в Еравнинском районе Республики Бурятия» (зарегистрирован в реестре нормативных правовых актов ИОГВ 20.07.2020 № 032020252) (копия прилагается).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i/>
          <w:sz w:val="24"/>
          <w:szCs w:val="24"/>
        </w:rPr>
      </w:pPr>
      <w:r>
        <w:rPr>
          <w:rFonts w:hint="default" w:ascii="Gotham Pro" w:hAnsi="Gotham Pro" w:cs="Gotham Pro"/>
          <w:i/>
          <w:sz w:val="24"/>
          <w:szCs w:val="24"/>
        </w:rPr>
        <w:t xml:space="preserve">- выявленные объекты культурного наследия: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1. Гарам – стоянка (неолит). Адрес: РБ, Еравнинский район, в районе Машинно-тракторной мастерской, в 2,3 км на северо-запад от с. Гарам, на озерной террасе высотой 8 м.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не утверждены.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52,58742910° E111,42303718°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52,58777457° E111,42384185°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52,58705104° E111,42689956°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52,58660127° E111,42636312°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2. Укыр. Пункт 1 – стоянка (неолит – средневековье). Адрес: РБ, Еравнинский район, на северо-западной окраине с. Укыр, на 3-4-метровой озерной террасе.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не утверждены.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52,53041454° E111,40839126°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52,53117816° E111,40951779°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52,53081920° E111,41073015°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52,53016734° E111,41000059°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3. Малое Еравнинское – стоянка (неолит). Адрес: РБ, Еравнинский район, на озерной террасе высотой 5-6 м, в 7 км к югу от с. Тулдун.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не утверждены.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52,62621602° E111,59592059°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52,62658723° E111,59662869°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52,62582526° E111,59840968°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52,62529774° E111,59764793°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4. Далын. Пункт 2 - стоянка (неолит - средневековье). Адрес: РБ, Еравнинский район, на восточном берегу озера Большое Еравнинское, в 2,4 км на юго-запад от с. Тулдун.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территории не утверждены.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52,66236519° E111,56517174°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52,66240098° E111,56573501°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52,66215370° E111,56577792° </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52,66208213° E111,56528976°.</w:t>
      </w: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bidi w:val="0"/>
        <w:snapToGrid/>
        <w:spacing w:line="300" w:lineRule="auto"/>
        <w:ind w:left="0" w:leftChars="0" w:firstLine="439" w:firstLineChars="183"/>
        <w:jc w:val="both"/>
        <w:textAlignment w:val="auto"/>
        <w:rPr>
          <w:rFonts w:hint="default" w:ascii="Gotham Pro" w:hAnsi="Gotham Pro" w:cs="Gotham Pro"/>
          <w:sz w:val="24"/>
          <w:szCs w:val="24"/>
        </w:rPr>
      </w:pPr>
    </w:p>
    <w:p>
      <w:pPr>
        <w:pStyle w:val="11"/>
        <w:spacing w:line="276" w:lineRule="auto"/>
        <w:ind w:left="0" w:leftChars="0" w:firstLine="439" w:firstLineChars="183"/>
        <w:jc w:val="right"/>
        <w:rPr>
          <w:rFonts w:ascii="Times New Roman" w:hAnsi="Times New Roman" w:cs="Times New Roman"/>
          <w:sz w:val="24"/>
          <w:szCs w:val="24"/>
          <w:lang w:eastAsia="en-US"/>
        </w:rPr>
      </w:pP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Утвержденные предметы охраны и границы территорий исторических поселений федерального значения и исторических поселений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На территории поселения отсутствуют утвержденные предметы охраны и границы территорий исторических поселений федерального значения и исторических поселений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numPr>
          <w:ilvl w:val="1"/>
          <w:numId w:val="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Объекты специального назначения</w:t>
      </w:r>
    </w:p>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Организация ритуальных услуг и содержание мест захоронения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7" w:name="_Hlk130807087"/>
      <w:r>
        <w:rPr>
          <w:rFonts w:hint="default" w:ascii="Gotham Pro" w:hAnsi="Gotham Pro" w:cs="Gotham Pro"/>
          <w:sz w:val="24"/>
          <w:szCs w:val="24"/>
        </w:rPr>
        <w:t xml:space="preserve">В поселении имеются 4 кладбища, перечень которых приведен в таблице 1.9.1.-1. </w:t>
      </w: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Места погребения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1.9.1.-1</w:t>
      </w:r>
    </w:p>
    <w:tbl>
      <w:tblPr>
        <w:tblStyle w:val="3"/>
        <w:tblW w:w="4953"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742"/>
        <w:gridCol w:w="2304"/>
        <w:gridCol w:w="2340"/>
        <w:gridCol w:w="1930"/>
        <w:gridCol w:w="1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населенного пункта</w:t>
            </w:r>
          </w:p>
        </w:tc>
        <w:tc>
          <w:tcPr>
            <w:tcW w:w="119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Вид места погребения, местонахождение</w:t>
            </w:r>
          </w:p>
        </w:tc>
        <w:tc>
          <w:tcPr>
            <w:tcW w:w="121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Кадастровый номер земельного участка</w:t>
            </w:r>
          </w:p>
        </w:tc>
        <w:tc>
          <w:tcPr>
            <w:tcW w:w="998" w:type="pct"/>
            <w:shd w:val="clear" w:color="auto" w:fill="auto"/>
            <w:vAlign w:val="top"/>
          </w:tcPr>
          <w:p>
            <w:pPr>
              <w:pStyle w:val="11"/>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Целевое назначение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земельного участка</w:t>
            </w:r>
          </w:p>
        </w:tc>
        <w:tc>
          <w:tcPr>
            <w:tcW w:w="696"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Площадь земельного участка,</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01"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19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210"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99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696"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0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1192"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xml:space="preserve">Кладбище, </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121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03:05:000000:2687</w:t>
            </w:r>
          </w:p>
        </w:tc>
        <w:tc>
          <w:tcPr>
            <w:tcW w:w="99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Земли населенных пунктов,</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размещения кладбища</w:t>
            </w:r>
          </w:p>
        </w:tc>
        <w:tc>
          <w:tcPr>
            <w:tcW w:w="69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3,2976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0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Сосново-Озерское</w:t>
            </w:r>
          </w:p>
        </w:tc>
        <w:tc>
          <w:tcPr>
            <w:tcW w:w="1192"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xml:space="preserve">Кладбище, </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местность«Дархита»</w:t>
            </w:r>
          </w:p>
        </w:tc>
        <w:tc>
          <w:tcPr>
            <w:tcW w:w="121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03:05:290103:852</w:t>
            </w:r>
          </w:p>
        </w:tc>
        <w:tc>
          <w:tcPr>
            <w:tcW w:w="99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Земли сельскохозяйственного назначения,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сельскохозяйственного использования</w:t>
            </w:r>
          </w:p>
        </w:tc>
        <w:tc>
          <w:tcPr>
            <w:tcW w:w="69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2,2977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0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1192"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xml:space="preserve">Кладбище, </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121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03:05:140101:210</w:t>
            </w:r>
          </w:p>
        </w:tc>
        <w:tc>
          <w:tcPr>
            <w:tcW w:w="998"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Земли населенных пунктов,</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размещения кладбища</w:t>
            </w:r>
          </w:p>
        </w:tc>
        <w:tc>
          <w:tcPr>
            <w:tcW w:w="69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1,297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01" w:type="pct"/>
            <w:vMerge w:val="restar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1192"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Кладбище,</w:t>
            </w:r>
          </w:p>
          <w:p>
            <w:pPr>
              <w:pStyle w:val="11"/>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местность «Соболка»</w:t>
            </w:r>
          </w:p>
        </w:tc>
        <w:tc>
          <w:tcPr>
            <w:tcW w:w="121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03:05:290106:444</w:t>
            </w:r>
          </w:p>
        </w:tc>
        <w:tc>
          <w:tcPr>
            <w:tcW w:w="99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Земли сельскохозяйственного назначения, </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сельскохозяйственного использования</w:t>
            </w:r>
          </w:p>
        </w:tc>
        <w:tc>
          <w:tcPr>
            <w:tcW w:w="69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01"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119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Кладбище, межселенная территория Еравнинского района, местность «Соболка»</w:t>
            </w:r>
          </w:p>
        </w:tc>
        <w:tc>
          <w:tcPr>
            <w:tcW w:w="121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03:05:290106:443</w:t>
            </w:r>
          </w:p>
        </w:tc>
        <w:tc>
          <w:tcPr>
            <w:tcW w:w="99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 xml:space="preserve">Земли сельскохозяйственного назначения, </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сельскохозяйственного использования</w:t>
            </w:r>
          </w:p>
        </w:tc>
        <w:tc>
          <w:tcPr>
            <w:tcW w:w="69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0,2162</w:t>
            </w:r>
          </w:p>
        </w:tc>
      </w:tr>
    </w:tbl>
    <w:p>
      <w:pPr>
        <w:pStyle w:val="11"/>
        <w:spacing w:line="276" w:lineRule="auto"/>
        <w:ind w:firstLine="567"/>
        <w:jc w:val="right"/>
        <w:rPr>
          <w:rFonts w:hint="default" w:ascii="Gotham Pro" w:hAnsi="Gotham Pro" w:cs="Gotham Pro"/>
          <w:sz w:val="20"/>
          <w:szCs w:val="20"/>
        </w:rPr>
      </w:pPr>
    </w:p>
    <w:bookmarkEnd w:id="7"/>
    <w:p>
      <w:pPr>
        <w:pStyle w:val="11"/>
        <w:keepNext w:val="0"/>
        <w:keepLines w:val="0"/>
        <w:pageBreakBefore w:val="0"/>
        <w:widowControl/>
        <w:numPr>
          <w:ilvl w:val="2"/>
          <w:numId w:val="2"/>
        </w:numPr>
        <w:kinsoku/>
        <w:wordWrap/>
        <w:overflowPunct/>
        <w:topLinePunct w:val="0"/>
        <w:autoSpaceDE/>
        <w:autoSpaceDN/>
        <w:bidi w:val="0"/>
        <w:adjustRightInd/>
        <w:snapToGrid/>
        <w:spacing w:line="300" w:lineRule="auto"/>
        <w:ind w:left="0" w:leftChars="0" w:firstLine="439" w:firstLineChars="0"/>
        <w:textAlignment w:val="auto"/>
        <w:rPr>
          <w:rFonts w:hint="default" w:ascii="Gotham Pro" w:hAnsi="Gotham Pro" w:cs="Gotham Pro"/>
          <w:b/>
          <w:bCs/>
          <w:sz w:val="24"/>
          <w:szCs w:val="24"/>
        </w:rPr>
      </w:pPr>
      <w:r>
        <w:rPr>
          <w:rFonts w:hint="default" w:ascii="Gotham Pro" w:hAnsi="Gotham Pro" w:cs="Gotham Pro"/>
          <w:b/>
          <w:bCs/>
          <w:sz w:val="24"/>
          <w:szCs w:val="24"/>
        </w:rPr>
        <w:t>Объекты складирования и захоронения отходов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действующей схеме потока (приложение 28 к приказу Минприроды РБ от 02.08.2022 № 295-ПР) отходы с территории МО СП «Сосново-Озерское» подлежат вывозу на полигон АО «Республиканский мусороперерабатывающий завод», имеющий местоположение: Республика Бурятия, Еравнинский район, МО «Эгитуйское», земельный участок с кадастровым номером 03:05:280101:834.</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 В соответствии с разделом 9 Территориальной схемы на территории МО СП «Сосново-Озерское» располагается мусороперегрузочная площадка (</w:t>
      </w:r>
      <w:bookmarkStart w:id="8" w:name="_Hlk134802832"/>
      <w:r>
        <w:rPr>
          <w:rFonts w:hint="default" w:ascii="Gotham Pro" w:hAnsi="Gotham Pro" w:cs="Gotham Pro"/>
          <w:sz w:val="24"/>
          <w:szCs w:val="24"/>
        </w:rPr>
        <w:t>таблица 1.9.2.-1</w:t>
      </w:r>
      <w:bookmarkEnd w:id="8"/>
      <w:r>
        <w:rPr>
          <w:rFonts w:hint="default" w:ascii="Gotham Pro" w:hAnsi="Gotham Pro" w:cs="Gotham Pro"/>
          <w:sz w:val="24"/>
          <w:szCs w:val="24"/>
        </w:rPr>
        <w:t>).</w:t>
      </w: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Сведения о мусороперегрузочной площадке,</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 расположенной на территории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1.9.2.-1</w:t>
      </w:r>
    </w:p>
    <w:tbl>
      <w:tblPr>
        <w:tblStyle w:val="8"/>
        <w:tblW w:w="97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4"/>
        <w:gridCol w:w="2254"/>
        <w:gridCol w:w="1984"/>
        <w:gridCol w:w="1342"/>
        <w:gridCol w:w="22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Муниципальный район</w:t>
            </w:r>
          </w:p>
        </w:tc>
        <w:tc>
          <w:tcPr>
            <w:tcW w:w="2254"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Адрес</w:t>
            </w:r>
          </w:p>
        </w:tc>
        <w:tc>
          <w:tcPr>
            <w:tcW w:w="1984"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Географические координаты</w:t>
            </w:r>
          </w:p>
        </w:tc>
        <w:tc>
          <w:tcPr>
            <w:tcW w:w="1342"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Площадь,</w:t>
            </w:r>
          </w:p>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га</w:t>
            </w:r>
          </w:p>
        </w:tc>
        <w:tc>
          <w:tcPr>
            <w:tcW w:w="2201"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Мощность, т/год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tcPr>
          <w:p>
            <w:pPr>
              <w:pStyle w:val="11"/>
              <w:widowControl w:val="0"/>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2254" w:type="dxa"/>
          </w:tcPr>
          <w:p>
            <w:pPr>
              <w:pStyle w:val="11"/>
              <w:widowControl w:val="0"/>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1984" w:type="dxa"/>
          </w:tcPr>
          <w:p>
            <w:pPr>
              <w:pStyle w:val="11"/>
              <w:widowControl w:val="0"/>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1342" w:type="dxa"/>
          </w:tcPr>
          <w:p>
            <w:pPr>
              <w:pStyle w:val="11"/>
              <w:widowControl w:val="0"/>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2201" w:type="dxa"/>
          </w:tcPr>
          <w:p>
            <w:pPr>
              <w:pStyle w:val="11"/>
              <w:widowControl w:val="0"/>
              <w:spacing w:line="276" w:lineRule="auto"/>
              <w:jc w:val="center"/>
              <w:rPr>
                <w:rFonts w:hint="default" w:ascii="Gotham Pro" w:hAnsi="Gotham Pro" w:cs="Gotham Pro"/>
                <w:sz w:val="20"/>
                <w:szCs w:val="20"/>
                <w:lang w:val="ru-RU"/>
              </w:rPr>
            </w:pPr>
            <w:r>
              <w:rPr>
                <w:rFonts w:hint="default" w:ascii="Gotham Pro" w:hAnsi="Gotham Pro" w:cs="Gotham Pro"/>
                <w:sz w:val="20"/>
                <w:szCs w:val="20"/>
                <w:lang w:val="ru-RU"/>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44"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Еравнинский район</w:t>
            </w:r>
          </w:p>
        </w:tc>
        <w:tc>
          <w:tcPr>
            <w:tcW w:w="2254"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03:05:290103:649</w:t>
            </w:r>
          </w:p>
        </w:tc>
        <w:tc>
          <w:tcPr>
            <w:tcW w:w="1984"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52,531428</w:t>
            </w:r>
          </w:p>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111,482949</w:t>
            </w:r>
          </w:p>
        </w:tc>
        <w:tc>
          <w:tcPr>
            <w:tcW w:w="1342"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4,0089</w:t>
            </w:r>
          </w:p>
        </w:tc>
        <w:tc>
          <w:tcPr>
            <w:tcW w:w="2201" w:type="dxa"/>
          </w:tcPr>
          <w:p>
            <w:pPr>
              <w:pStyle w:val="11"/>
              <w:widowControl w:val="0"/>
              <w:spacing w:line="276" w:lineRule="auto"/>
              <w:jc w:val="center"/>
              <w:rPr>
                <w:rFonts w:hint="default" w:ascii="Gotham Pro" w:hAnsi="Gotham Pro" w:cs="Gotham Pro"/>
                <w:sz w:val="20"/>
                <w:szCs w:val="20"/>
              </w:rPr>
            </w:pPr>
            <w:r>
              <w:rPr>
                <w:rFonts w:hint="default" w:ascii="Gotham Pro" w:hAnsi="Gotham Pro" w:cs="Gotham Pro"/>
                <w:sz w:val="20"/>
                <w:szCs w:val="20"/>
              </w:rPr>
              <w:t>3000</w:t>
            </w:r>
          </w:p>
        </w:tc>
      </w:tr>
    </w:tbl>
    <w:p>
      <w:pPr>
        <w:pStyle w:val="11"/>
        <w:spacing w:line="276" w:lineRule="auto"/>
        <w:ind w:firstLine="567"/>
        <w:jc w:val="right"/>
        <w:rPr>
          <w:rFonts w:ascii="Times New Roman" w:hAnsi="Times New Roman" w:cs="Times New Roman"/>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Имевшийся в поселении скотомогильник с кадастровым номером 03:05:290106:316 с площадью застройки в 36 м</w:t>
      </w:r>
      <w:r>
        <w:rPr>
          <w:rFonts w:hint="default" w:ascii="Gotham Pro" w:hAnsi="Gotham Pro" w:cs="Gotham Pro"/>
          <w:sz w:val="24"/>
          <w:szCs w:val="24"/>
          <w:vertAlign w:val="superscript"/>
        </w:rPr>
        <w:t>2</w:t>
      </w:r>
      <w:r>
        <w:rPr>
          <w:rFonts w:hint="default" w:ascii="Gotham Pro" w:hAnsi="Gotham Pro" w:cs="Gotham Pro"/>
          <w:sz w:val="24"/>
          <w:szCs w:val="24"/>
        </w:rPr>
        <w:t xml:space="preserve"> ликвидирован. Ликвидированный скотомогильник располагался в границах зоны специального назначения с реестровым номером 03:05-7.272.</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r>
        <w:rPr>
          <w:rFonts w:hint="default" w:ascii="Gotham Pro" w:hAnsi="Gotham Pro" w:cs="Gotham Pro"/>
          <w:b/>
          <w:bCs/>
          <w:sz w:val="24"/>
          <w:szCs w:val="24"/>
        </w:rPr>
        <w:t xml:space="preserve">2. Обоснование выбранного варианта размещения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r>
        <w:rPr>
          <w:rFonts w:hint="default" w:ascii="Gotham Pro" w:hAnsi="Gotham Pro" w:cs="Gotham Pro"/>
          <w:b/>
          <w:bCs/>
          <w:sz w:val="24"/>
          <w:szCs w:val="24"/>
        </w:rPr>
        <w:t>объектов местного значения поселения на основе анализа использования территорий поселения, возможных направлений развития этих территорий</w:t>
      </w:r>
      <w:r>
        <w:rPr>
          <w:rFonts w:hint="default" w:ascii="Gotham Pro" w:hAnsi="Gotham Pro" w:cs="Gotham Pro"/>
          <w:b/>
          <w:bCs/>
          <w:sz w:val="24"/>
          <w:szCs w:val="24"/>
          <w:lang w:val="ru-RU"/>
        </w:rPr>
        <w:t xml:space="preserve"> </w:t>
      </w:r>
      <w:r>
        <w:rPr>
          <w:rFonts w:hint="default" w:ascii="Gotham Pro" w:hAnsi="Gotham Pro" w:cs="Gotham Pro"/>
          <w:b/>
          <w:bCs/>
          <w:sz w:val="24"/>
          <w:szCs w:val="24"/>
        </w:rPr>
        <w:t>и прогнозируемых ограничений их использования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 xml:space="preserve">2.1. Сведения об утвержденных документах стратегического планирования, указанных в части 5.2 статьи 9 Градостроительного кодекса Российской Федерации, о национальных проектах, об инвестиционных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b/>
          <w:bCs/>
          <w:sz w:val="24"/>
          <w:szCs w:val="24"/>
        </w:rPr>
      </w:pPr>
      <w:r>
        <w:rPr>
          <w:rFonts w:hint="default" w:ascii="Gotham Pro" w:hAnsi="Gotham Pro" w:cs="Gotham Pro"/>
          <w:b/>
          <w:bCs/>
          <w:sz w:val="24"/>
          <w:szCs w:val="24"/>
        </w:rPr>
        <w:t>программах субъектов естественных монополий, организаций коммунального комплекса, о решениях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Стратегия социально-экономического развития муниципального образования «Еравнинский район» до 2035 года;</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МП «Культура муниципального образования «Сосново-Озерское» на 2023-2025 годы», утвержденная  постановлением Администрации МО СП «Сосново-Озерское» от 08.11.2022 № 53;</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МП</w:t>
      </w:r>
      <w:r>
        <w:rPr>
          <w:rFonts w:hint="default" w:ascii="Gotham Pro" w:hAnsi="Gotham Pro" w:eastAsia="Times New Roman" w:cs="Gotham Pro"/>
          <w:sz w:val="24"/>
          <w:szCs w:val="24"/>
        </w:rPr>
        <w:t xml:space="preserve"> «Развитие образования»</w:t>
      </w:r>
      <w:r>
        <w:rPr>
          <w:rFonts w:hint="default" w:ascii="Gotham Pro" w:hAnsi="Gotham Pro" w:cs="Gotham Pro"/>
          <w:sz w:val="24"/>
          <w:szCs w:val="24"/>
        </w:rPr>
        <w:t>, утвержденная  постановлением Администрации МО «Еравнинский район» от 16.09.2021 № 409/5;</w:t>
      </w:r>
    </w:p>
    <w:p>
      <w:pPr>
        <w:pStyle w:val="11"/>
        <w:keepNext w:val="0"/>
        <w:keepLines w:val="0"/>
        <w:pageBreakBefore w:val="0"/>
        <w:widowControl/>
        <w:numPr>
          <w:ilvl w:val="0"/>
          <w:numId w:val="11"/>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shd w:val="clear" w:color="auto" w:fill="FFFFFF"/>
        </w:rPr>
        <w:t xml:space="preserve">ГП РБ «Развитие строительного и жилищно-коммунального комплексов Республики Бурятия», утвержденная </w:t>
      </w:r>
      <w:r>
        <w:rPr>
          <w:rFonts w:hint="default" w:ascii="Gotham Pro" w:hAnsi="Gotham Pro" w:cs="Gotham Pro"/>
          <w:sz w:val="24"/>
          <w:szCs w:val="24"/>
        </w:rPr>
        <w:t>постановлением Правительства РБ от 02.08.2013№ 424.</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2.2. Предложения по функциональному зонированию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МО СП «Сосново-Озерское» расположено в центральной части Еравнинского района. Территория поселения характеризуется благоприятным географическим положением, является транзитной территорией, связывающей Баунтовский эвенкийский район и Забайкальский край с другими районами и населенными пунктами РБ по автомобильной дороге общего пользования регионального значения Улан-Удэ – Романовка – Чита.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с. Сосново-Озерское, являющимся административным центром МО СП «Сосново-Озерское» и Еравнинского района, проживают более 93 % и 37% от общей численности населения поселения и района, соответственно. В с. Сосново-Озерское расположены все административные организации поселенческого, районного, республиканского и федерального уровня.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Характерной особенностью территориальной организации поселения является наличие двух чересполосных участков Харасун и Вершина Уды.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Большая часть территории поселения занята сельскохозяйственными угодьями, лесными землями.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жилой застройке преобладает индивидуальные жилые дома на приусадебных участках.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Границы </w:t>
      </w:r>
      <w:r>
        <w:rPr>
          <w:rFonts w:hint="default" w:ascii="Gotham Pro" w:hAnsi="Gotham Pro" w:cs="Gotham Pro"/>
          <w:sz w:val="24"/>
          <w:szCs w:val="24"/>
          <w:lang w:val="ru-RU"/>
        </w:rPr>
        <w:t>населённых</w:t>
      </w:r>
      <w:r>
        <w:rPr>
          <w:rFonts w:hint="default" w:ascii="Gotham Pro" w:hAnsi="Gotham Pro" w:cs="Gotham Pro"/>
          <w:sz w:val="24"/>
          <w:szCs w:val="24"/>
        </w:rPr>
        <w:t xml:space="preserve"> пунктов установлены, изменение их границ генеральным планом не предусматривается.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Проектные предложения: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lang w:val="ru-RU"/>
        </w:rPr>
        <w:t>Зоны рекреационного назначения</w:t>
      </w:r>
      <w:r>
        <w:rPr>
          <w:rFonts w:hint="default" w:ascii="Gotham Pro" w:hAnsi="Gotham Pro" w:cs="Gotham Pro"/>
          <w:sz w:val="24"/>
          <w:szCs w:val="24"/>
        </w:rPr>
        <w:t xml:space="preserve"> планируется расширить в целях размещения: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туристического комплекса в местности «Далан»;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оздоровительно-спортивного лагеря в местности «Яндола»;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аллеи отдыха;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сквера;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-детских игровых площадок по ул. Полевая и Сельская 2В.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rPr>
        <w:t xml:space="preserve">Зона специализированной общественной застройки </w:t>
      </w:r>
      <w:r>
        <w:rPr>
          <w:rFonts w:hint="default" w:ascii="Gotham Pro" w:hAnsi="Gotham Pro" w:cs="Gotham Pro"/>
          <w:sz w:val="24"/>
          <w:szCs w:val="24"/>
          <w:lang w:val="ru-RU"/>
        </w:rPr>
        <w:t>создается</w:t>
      </w:r>
      <w:r>
        <w:rPr>
          <w:rFonts w:hint="default" w:ascii="Gotham Pro" w:hAnsi="Gotham Pro" w:cs="Gotham Pro"/>
          <w:sz w:val="24"/>
          <w:szCs w:val="24"/>
        </w:rPr>
        <w:t xml:space="preserve"> за счет включения земельных участков, ранее расположенных в зоне инженерной инфраструктуры, для строительства </w:t>
      </w:r>
      <w:bookmarkStart w:id="9" w:name="_Hlk134987357"/>
      <w:r>
        <w:rPr>
          <w:rFonts w:hint="default" w:ascii="Gotham Pro" w:hAnsi="Gotham Pro" w:cs="Gotham Pro"/>
          <w:sz w:val="24"/>
          <w:szCs w:val="24"/>
          <w:lang w:eastAsia="en-US"/>
        </w:rPr>
        <w:t>многофункционального культурного центра (МФКЦ)</w:t>
      </w:r>
      <w:bookmarkEnd w:id="9"/>
      <w:r>
        <w:rPr>
          <w:rFonts w:hint="default" w:ascii="Gotham Pro" w:hAnsi="Gotham Pro" w:cs="Gotham Pro"/>
          <w:sz w:val="24"/>
          <w:szCs w:val="24"/>
          <w:lang w:eastAsia="en-US"/>
        </w:rPr>
        <w:t>. Также в эту зону включаются земельные участки, предназначенные для строительства объектов здравоохранения.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xml:space="preserve">Многофункциональная общественно-деловая зона </w:t>
      </w:r>
      <w:r>
        <w:rPr>
          <w:rFonts w:hint="default" w:ascii="Gotham Pro" w:hAnsi="Gotham Pro" w:cs="Gotham Pro"/>
          <w:sz w:val="24"/>
          <w:szCs w:val="24"/>
          <w:lang w:val="ru-RU" w:eastAsia="en-US"/>
        </w:rPr>
        <w:t>создается</w:t>
      </w:r>
      <w:r>
        <w:rPr>
          <w:rFonts w:hint="default" w:ascii="Gotham Pro" w:hAnsi="Gotham Pro" w:cs="Gotham Pro"/>
          <w:sz w:val="24"/>
          <w:szCs w:val="24"/>
          <w:lang w:eastAsia="en-US"/>
        </w:rPr>
        <w:t xml:space="preserve"> за счет включения в нее </w:t>
      </w:r>
      <w:r>
        <w:rPr>
          <w:rFonts w:hint="default" w:ascii="Gotham Pro" w:hAnsi="Gotham Pro" w:cs="Gotham Pro"/>
          <w:sz w:val="24"/>
          <w:szCs w:val="24"/>
          <w:lang w:val="ru-RU" w:eastAsia="en-US"/>
        </w:rPr>
        <w:t>территорий</w:t>
      </w:r>
      <w:r>
        <w:rPr>
          <w:rFonts w:hint="default" w:ascii="Gotham Pro" w:hAnsi="Gotham Pro" w:cs="Gotham Pro"/>
          <w:sz w:val="24"/>
          <w:szCs w:val="24"/>
          <w:lang w:eastAsia="en-US"/>
        </w:rPr>
        <w:t>, ранее расположенн</w:t>
      </w:r>
      <w:r>
        <w:rPr>
          <w:rFonts w:hint="default" w:ascii="Gotham Pro" w:hAnsi="Gotham Pro" w:cs="Gotham Pro"/>
          <w:sz w:val="24"/>
          <w:szCs w:val="24"/>
          <w:lang w:val="ru-RU" w:eastAsia="en-US"/>
        </w:rPr>
        <w:t>ых</w:t>
      </w:r>
      <w:r>
        <w:rPr>
          <w:rFonts w:hint="default" w:ascii="Gotham Pro" w:hAnsi="Gotham Pro" w:cs="Gotham Pro"/>
          <w:sz w:val="24"/>
          <w:szCs w:val="24"/>
          <w:lang w:eastAsia="en-US"/>
        </w:rPr>
        <w:t xml:space="preserve"> в зоне территорий общего пользования, в целях строительства объекта торговли – магазина</w:t>
      </w:r>
      <w:r>
        <w:rPr>
          <w:rFonts w:hint="default" w:ascii="Gotham Pro" w:hAnsi="Gotham Pro" w:cs="Gotham Pro"/>
          <w:sz w:val="24"/>
          <w:szCs w:val="24"/>
          <w:lang w:val="ru-RU" w:eastAsia="en-US"/>
        </w:rPr>
        <w:t xml:space="preserve"> и объекта дорожного сервиса</w:t>
      </w:r>
      <w:r>
        <w:rPr>
          <w:rFonts w:hint="default" w:ascii="Gotham Pro" w:hAnsi="Gotham Pro" w:cs="Gotham Pro"/>
          <w:sz w:val="24"/>
          <w:szCs w:val="24"/>
          <w:lang w:eastAsia="en-US"/>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Производственная зона расширяется в целях строительства производственных объектов добывающей и обрабатывающей промышленности, предприяти</w:t>
      </w:r>
      <w:r>
        <w:rPr>
          <w:rFonts w:hint="default" w:ascii="Gotham Pro" w:hAnsi="Gotham Pro" w:cs="Gotham Pro"/>
          <w:sz w:val="24"/>
          <w:szCs w:val="24"/>
          <w:lang w:val="ru-RU"/>
        </w:rPr>
        <w:t>й</w:t>
      </w:r>
      <w:r>
        <w:rPr>
          <w:rFonts w:hint="default" w:ascii="Gotham Pro" w:hAnsi="Gotham Pro" w:cs="Gotham Pro"/>
          <w:sz w:val="24"/>
          <w:szCs w:val="24"/>
        </w:rPr>
        <w:t xml:space="preserve"> по обработке древесины, производству изделий из дерева.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зону инженерной инфраструктуры включаются территории для размещения объектов газоснабжения, водоснабжения, энергетики.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Зону транспортной инфраструктуры планируется расширить в целях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газозаправочной станции в с. Сосново- 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shd w:val="clear" w:color="auto" w:fill="FFFFFF"/>
        </w:rPr>
        <w:t>- с</w:t>
      </w:r>
      <w:r>
        <w:rPr>
          <w:rFonts w:hint="default" w:ascii="Gotham Pro" w:hAnsi="Gotham Pro" w:eastAsia="Times New Roman" w:cs="Gotham Pro"/>
          <w:bCs/>
          <w:sz w:val="24"/>
          <w:szCs w:val="24"/>
        </w:rPr>
        <w:t xml:space="preserve">троительства новых железнодорожных линий </w:t>
      </w:r>
      <w:r>
        <w:rPr>
          <w:rFonts w:hint="default" w:ascii="Gotham Pro" w:hAnsi="Gotham Pro" w:eastAsia="Times New Roman" w:cs="Gotham Pro"/>
          <w:sz w:val="24"/>
          <w:szCs w:val="24"/>
        </w:rPr>
        <w:t>в районах нового освоения Могзон - Новый Уоян протяженностью 700 км</w:t>
      </w:r>
      <w:r>
        <w:rPr>
          <w:rFonts w:hint="default" w:ascii="Gotham Pro" w:hAnsi="Gotham Pro" w:cs="Gotham Pro"/>
          <w:sz w:val="24"/>
          <w:szCs w:val="24"/>
        </w:rPr>
        <w:t xml:space="preserve">.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Зона специального назначения – зона кладбищ расширяется в целях размещения кладбищ.</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Таким образом, в целях повышения эффективности использования территории поселения, размещения планируемых объектов капитального строительства и реализации комплексного освоения территории для комфортного проживания населения функциональное зонирование территории поселения и населенных пунктов </w:t>
      </w:r>
      <w:r>
        <w:rPr>
          <w:rFonts w:hint="default" w:ascii="Gotham Pro" w:hAnsi="Gotham Pro" w:cs="Gotham Pro"/>
          <w:sz w:val="24"/>
          <w:szCs w:val="24"/>
          <w:highlight w:val="none"/>
        </w:rPr>
        <w:t xml:space="preserve">предлагается в следующем виде </w:t>
      </w:r>
      <w:r>
        <w:rPr>
          <w:rFonts w:hint="default" w:ascii="Gotham Pro" w:hAnsi="Gotham Pro" w:cs="Gotham Pro"/>
          <w:sz w:val="24"/>
          <w:szCs w:val="24"/>
        </w:rPr>
        <w:t>с учетом сложившегося зонирования:</w:t>
      </w:r>
    </w:p>
    <w:p>
      <w:pPr>
        <w:pStyle w:val="11"/>
        <w:spacing w:line="276" w:lineRule="auto"/>
        <w:ind w:firstLine="567"/>
        <w:jc w:val="center"/>
        <w:rPr>
          <w:rFonts w:ascii="Times New Roman" w:hAnsi="Times New Roman"/>
          <w:sz w:val="24"/>
          <w:szCs w:val="24"/>
        </w:rPr>
      </w:pPr>
    </w:p>
    <w:p>
      <w:pPr>
        <w:pStyle w:val="11"/>
        <w:spacing w:line="276" w:lineRule="auto"/>
        <w:ind w:firstLine="567"/>
        <w:jc w:val="center"/>
        <w:rPr>
          <w:rFonts w:ascii="Times New Roman" w:hAnsi="Times New Roman"/>
          <w:sz w:val="24"/>
          <w:szCs w:val="24"/>
        </w:rPr>
      </w:pPr>
    </w:p>
    <w:p>
      <w:pPr>
        <w:pStyle w:val="11"/>
        <w:spacing w:line="276" w:lineRule="auto"/>
        <w:ind w:firstLine="567"/>
        <w:jc w:val="center"/>
        <w:rPr>
          <w:rFonts w:ascii="Times New Roman" w:hAnsi="Times New Roman"/>
          <w:sz w:val="24"/>
          <w:szCs w:val="24"/>
        </w:rPr>
      </w:pPr>
    </w:p>
    <w:p>
      <w:pPr>
        <w:pStyle w:val="11"/>
        <w:spacing w:line="276" w:lineRule="auto"/>
        <w:ind w:firstLine="567"/>
        <w:jc w:val="center"/>
        <w:rPr>
          <w:rFonts w:ascii="Times New Roman" w:hAnsi="Times New Roman"/>
          <w:sz w:val="24"/>
          <w:szCs w:val="24"/>
        </w:rPr>
      </w:pPr>
    </w:p>
    <w:p>
      <w:pPr>
        <w:pStyle w:val="11"/>
        <w:spacing w:line="276" w:lineRule="auto"/>
        <w:ind w:firstLine="567"/>
        <w:jc w:val="center"/>
        <w:rPr>
          <w:rFonts w:ascii="Times New Roman" w:hAnsi="Times New Roman"/>
          <w:sz w:val="24"/>
          <w:szCs w:val="24"/>
        </w:rPr>
      </w:pPr>
    </w:p>
    <w:p>
      <w:pPr>
        <w:pStyle w:val="11"/>
        <w:spacing w:line="276" w:lineRule="auto"/>
        <w:ind w:firstLine="567"/>
        <w:jc w:val="center"/>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Функциональное зонирование территории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2.2.-1</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8"/>
        <w:gridCol w:w="6345"/>
        <w:gridCol w:w="2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688" w:type="dxa"/>
            <w:tcBorders>
              <w:top w:val="single" w:color="auto" w:sz="4" w:space="0"/>
              <w:left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 п/п</w:t>
            </w:r>
          </w:p>
        </w:tc>
        <w:tc>
          <w:tcPr>
            <w:tcW w:w="6345" w:type="dxa"/>
            <w:tcBorders>
              <w:top w:val="single" w:color="auto" w:sz="4" w:space="0"/>
              <w:left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Наименование зоны</w:t>
            </w:r>
          </w:p>
        </w:tc>
        <w:tc>
          <w:tcPr>
            <w:tcW w:w="2820" w:type="dxa"/>
            <w:tcBorders>
              <w:top w:val="single" w:color="auto" w:sz="4" w:space="0"/>
              <w:left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rPr>
              <w:t>Площадь, га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853" w:type="dxa"/>
            <w:gridSpan w:val="3"/>
            <w:tcBorders>
              <w:top w:val="single" w:color="auto" w:sz="4" w:space="0"/>
              <w:left w:val="single" w:color="auto" w:sz="4" w:space="0"/>
              <w:bottom w:val="single" w:color="auto" w:sz="4" w:space="0"/>
              <w:right w:val="single" w:color="auto" w:sz="4" w:space="0"/>
            </w:tcBorders>
            <w:shd w:val="clear" w:color="auto" w:fill="FFC000"/>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земли населенных пунктов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с. Сосново-Озерское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lang w:val="ru-RU"/>
              </w:rPr>
            </w:pPr>
            <w:r>
              <w:rPr>
                <w:rFonts w:hint="default" w:ascii="Gotham Pro" w:hAnsi="Gotham Pro" w:cs="Gotham Pro"/>
                <w:b/>
                <w:sz w:val="20"/>
                <w:szCs w:val="20"/>
              </w:rPr>
              <w:t>Жилые зоны</w:t>
            </w:r>
            <w:r>
              <w:rPr>
                <w:rFonts w:hint="default" w:ascii="Gotham Pro" w:hAnsi="Gotham Pro" w:cs="Gotham Pro"/>
                <w:b/>
                <w:sz w:val="20"/>
                <w:szCs w:val="20"/>
                <w:lang w:val="ru-RU"/>
              </w:rPr>
              <w:t>:</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eastAsiaTheme="minorEastAsia"/>
                <w:b/>
                <w:sz w:val="20"/>
                <w:szCs w:val="20"/>
                <w:highlight w:val="none"/>
                <w:lang w:val="ru-RU" w:eastAsia="ru-RU" w:bidi="ar-SA"/>
              </w:rPr>
            </w:pPr>
            <w:r>
              <w:rPr>
                <w:rFonts w:hint="default" w:ascii="Gotham Pro" w:hAnsi="Gotham Pro" w:cs="Gotham Pro"/>
                <w:b/>
                <w:sz w:val="20"/>
                <w:szCs w:val="20"/>
                <w:highlight w:val="none"/>
                <w:lang w:val="ru-RU"/>
              </w:rPr>
              <w:t>542,9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1.1.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застройки индивидуальными</w:t>
            </w:r>
            <w:r>
              <w:rPr>
                <w:rFonts w:hint="default" w:ascii="Gotham Pro" w:hAnsi="Gotham Pro" w:cs="Gotham Pro"/>
                <w:sz w:val="20"/>
                <w:szCs w:val="20"/>
                <w:lang w:val="ru-RU"/>
              </w:rPr>
              <w:t xml:space="preserve"> и малоэтажными</w:t>
            </w:r>
            <w:r>
              <w:rPr>
                <w:rFonts w:hint="default" w:ascii="Gotham Pro" w:hAnsi="Gotham Pro" w:cs="Gotham Pro"/>
                <w:sz w:val="20"/>
                <w:szCs w:val="20"/>
              </w:rPr>
              <w:t xml:space="preserve"> жилыми домами</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eastAsiaTheme="minorEastAsia"/>
                <w:b w:val="0"/>
                <w:bCs/>
                <w:sz w:val="20"/>
                <w:szCs w:val="20"/>
                <w:highlight w:val="none"/>
                <w:lang w:val="ru-RU" w:eastAsia="ru-RU" w:bidi="ar-SA"/>
              </w:rPr>
            </w:pPr>
            <w:r>
              <w:rPr>
                <w:rFonts w:hint="default" w:ascii="Gotham Pro" w:hAnsi="Gotham Pro" w:cs="Gotham Pro"/>
                <w:b w:val="0"/>
                <w:bCs/>
                <w:sz w:val="20"/>
                <w:szCs w:val="20"/>
                <w:highlight w:val="none"/>
                <w:lang w:val="ru-RU"/>
              </w:rPr>
              <w:t>542,9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2</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lang w:val="ru-RU"/>
              </w:rPr>
            </w:pPr>
            <w:r>
              <w:rPr>
                <w:rFonts w:hint="default" w:ascii="Gotham Pro" w:hAnsi="Gotham Pro" w:cs="Gotham Pro"/>
                <w:b/>
                <w:sz w:val="20"/>
                <w:szCs w:val="20"/>
              </w:rPr>
              <w:t>Общественно-деловые зоны</w:t>
            </w:r>
            <w:r>
              <w:rPr>
                <w:rFonts w:hint="default" w:ascii="Gotham Pro" w:hAnsi="Gotham Pro" w:cs="Gotham Pro"/>
                <w:b/>
                <w:sz w:val="20"/>
                <w:szCs w:val="20"/>
                <w:lang w:val="ru-RU"/>
              </w:rPr>
              <w:t>:</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highlight w:val="none"/>
                <w:lang w:val="ru-RU"/>
              </w:rPr>
            </w:pPr>
            <w:r>
              <w:rPr>
                <w:rFonts w:hint="default" w:ascii="Gotham Pro" w:hAnsi="Gotham Pro" w:cs="Gotham Pro"/>
                <w:b/>
                <w:sz w:val="20"/>
                <w:szCs w:val="20"/>
                <w:highlight w:val="none"/>
                <w:lang w:val="ru-RU"/>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val="0"/>
                <w:bCs/>
                <w:sz w:val="20"/>
                <w:szCs w:val="20"/>
                <w:lang w:val="ru-RU"/>
              </w:rPr>
            </w:pPr>
            <w:r>
              <w:rPr>
                <w:rFonts w:hint="default" w:ascii="Gotham Pro" w:hAnsi="Gotham Pro" w:cs="Gotham Pro"/>
                <w:b w:val="0"/>
                <w:bCs/>
                <w:sz w:val="20"/>
                <w:szCs w:val="20"/>
                <w:lang w:val="ru-RU"/>
              </w:rPr>
              <w:t>2.1.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val="0"/>
                <w:bCs/>
                <w:sz w:val="20"/>
                <w:szCs w:val="20"/>
                <w:lang w:val="ru-RU"/>
              </w:rPr>
            </w:pPr>
            <w:r>
              <w:rPr>
                <w:rFonts w:hint="default" w:ascii="Gotham Pro" w:hAnsi="Gotham Pro" w:cs="Gotham Pro"/>
                <w:b w:val="0"/>
                <w:bCs/>
                <w:sz w:val="20"/>
                <w:szCs w:val="20"/>
                <w:lang w:val="ru-RU"/>
              </w:rPr>
              <w:t>О</w:t>
            </w:r>
            <w:r>
              <w:rPr>
                <w:rFonts w:hint="default" w:ascii="Gotham Pro" w:hAnsi="Gotham Pro" w:cs="Gotham Pro"/>
                <w:b w:val="0"/>
                <w:bCs/>
                <w:sz w:val="20"/>
                <w:szCs w:val="20"/>
                <w:lang w:val="ru-RU"/>
              </w:rPr>
              <w:t>бщественно-деловая зона</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highlight w:val="none"/>
                <w:lang w:val="ru-RU"/>
              </w:rPr>
            </w:pPr>
            <w:r>
              <w:rPr>
                <w:rFonts w:hint="default" w:ascii="Gotham Pro" w:hAnsi="Gotham Pro" w:cs="Gotham Pro"/>
                <w:b w:val="0"/>
                <w:bCs/>
                <w:sz w:val="20"/>
                <w:szCs w:val="20"/>
                <w:highlight w:val="none"/>
                <w:lang w:val="ru-RU"/>
              </w:rPr>
              <w:t>40,1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2.</w:t>
            </w:r>
            <w:r>
              <w:rPr>
                <w:rFonts w:hint="default" w:ascii="Gotham Pro" w:hAnsi="Gotham Pro" w:cs="Gotham Pro"/>
                <w:sz w:val="20"/>
                <w:szCs w:val="20"/>
                <w:lang w:val="ru-RU"/>
              </w:rPr>
              <w:t>2</w:t>
            </w:r>
            <w:r>
              <w:rPr>
                <w:rFonts w:hint="default" w:ascii="Gotham Pro" w:hAnsi="Gotham Pro" w:cs="Gotham Pro"/>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lang w:val="ru-RU"/>
              </w:rPr>
            </w:pPr>
            <w:r>
              <w:rPr>
                <w:rFonts w:hint="default" w:ascii="Gotham Pro" w:hAnsi="Gotham Pro" w:cs="Gotham Pro"/>
                <w:sz w:val="20"/>
                <w:szCs w:val="20"/>
              </w:rPr>
              <w:t>Многофункциональная общественно-деловая зона</w:t>
            </w:r>
            <w:r>
              <w:rPr>
                <w:rFonts w:hint="default" w:ascii="Gotham Pro" w:hAnsi="Gotham Pro" w:cs="Gotham Pro"/>
                <w:sz w:val="20"/>
                <w:szCs w:val="20"/>
                <w:lang w:val="ru-RU"/>
              </w:rPr>
              <w:t xml:space="preserve"> (проект.)</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0,36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2.</w:t>
            </w:r>
            <w:r>
              <w:rPr>
                <w:rFonts w:hint="default" w:ascii="Gotham Pro" w:hAnsi="Gotham Pro" w:cs="Gotham Pro"/>
                <w:sz w:val="20"/>
                <w:szCs w:val="20"/>
                <w:lang w:val="ru-RU"/>
              </w:rPr>
              <w:t>3</w:t>
            </w:r>
            <w:r>
              <w:rPr>
                <w:rFonts w:hint="default" w:ascii="Gotham Pro" w:hAnsi="Gotham Pro" w:cs="Gotham Pro"/>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lang w:val="ru-RU"/>
              </w:rPr>
            </w:pPr>
            <w:r>
              <w:rPr>
                <w:rFonts w:hint="default" w:ascii="Gotham Pro" w:hAnsi="Gotham Pro" w:cs="Gotham Pro"/>
                <w:sz w:val="20"/>
                <w:szCs w:val="20"/>
              </w:rPr>
              <w:t>Зона специализированной общественной застройки</w:t>
            </w:r>
            <w:r>
              <w:rPr>
                <w:rFonts w:hint="default" w:ascii="Gotham Pro" w:hAnsi="Gotham Pro" w:cs="Gotham Pro"/>
                <w:sz w:val="20"/>
                <w:szCs w:val="20"/>
                <w:lang w:val="ru-RU"/>
              </w:rPr>
              <w:t xml:space="preserve"> (проект.)</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3.</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Производственная зона, зона инженерной и транспортной инфраструктур:</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val="0"/>
                <w:sz w:val="20"/>
                <w:szCs w:val="20"/>
                <w:highlight w:val="none"/>
                <w:lang w:val="ru-RU"/>
              </w:rPr>
            </w:pPr>
            <w:r>
              <w:rPr>
                <w:rFonts w:hint="default" w:ascii="Gotham Pro" w:hAnsi="Gotham Pro" w:cs="Gotham Pro"/>
                <w:b/>
                <w:bCs w:val="0"/>
                <w:sz w:val="20"/>
                <w:szCs w:val="20"/>
                <w:highlight w:val="none"/>
                <w:lang w:val="ru-RU"/>
              </w:rPr>
              <w:t>65,2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3.1.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Производственная зона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44,2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3.</w:t>
            </w:r>
            <w:r>
              <w:rPr>
                <w:rFonts w:hint="default" w:ascii="Gotham Pro" w:hAnsi="Gotham Pro" w:cs="Gotham Pro"/>
                <w:sz w:val="20"/>
                <w:szCs w:val="20"/>
                <w:lang w:val="ru-RU"/>
              </w:rPr>
              <w:t>2</w:t>
            </w:r>
            <w:r>
              <w:rPr>
                <w:rFonts w:hint="default" w:ascii="Gotham Pro" w:hAnsi="Gotham Pro" w:cs="Gotham Pro"/>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инженерной инфраструктуры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3.</w:t>
            </w:r>
            <w:r>
              <w:rPr>
                <w:rFonts w:hint="default" w:ascii="Gotham Pro" w:hAnsi="Gotham Pro" w:cs="Gotham Pro"/>
                <w:sz w:val="20"/>
                <w:szCs w:val="20"/>
                <w:lang w:val="ru-RU"/>
              </w:rPr>
              <w:t>3</w:t>
            </w:r>
            <w:r>
              <w:rPr>
                <w:rFonts w:hint="default" w:ascii="Gotham Pro" w:hAnsi="Gotham Pro" w:cs="Gotham Pro"/>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транспортной инфраструктуры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17,7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4.</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специального назначения: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highlight w:val="none"/>
                <w:lang w:val="ru-RU"/>
              </w:rPr>
            </w:pPr>
            <w:r>
              <w:rPr>
                <w:rFonts w:hint="default" w:ascii="Gotham Pro" w:hAnsi="Gotham Pro" w:cs="Gotham Pro"/>
                <w:b/>
                <w:sz w:val="20"/>
                <w:szCs w:val="20"/>
                <w:highlight w:val="none"/>
                <w:lang w:val="ru-RU"/>
              </w:rPr>
              <w:t>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4.1.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Зона кладбищ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4.2.</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складирования и захоронения отходов</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5</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w:t>
            </w:r>
            <w:r>
              <w:rPr>
                <w:rFonts w:hint="default" w:ascii="Gotham Pro" w:hAnsi="Gotham Pro" w:cs="Gotham Pro"/>
                <w:b/>
                <w:sz w:val="20"/>
                <w:szCs w:val="20"/>
                <w:lang w:val="ru-RU"/>
              </w:rPr>
              <w:t>а</w:t>
            </w:r>
            <w:r>
              <w:rPr>
                <w:rFonts w:hint="default" w:ascii="Gotham Pro" w:hAnsi="Gotham Pro" w:cs="Gotham Pro"/>
                <w:b/>
                <w:sz w:val="20"/>
                <w:szCs w:val="20"/>
              </w:rPr>
              <w:t xml:space="preserve"> рекреационного назначения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highlight w:val="none"/>
                <w:lang w:val="ru-RU"/>
              </w:rPr>
            </w:pPr>
            <w:r>
              <w:rPr>
                <w:rFonts w:hint="default" w:ascii="Gotham Pro" w:hAnsi="Gotham Pro" w:cs="Gotham Pro"/>
                <w:b/>
                <w:sz w:val="20"/>
                <w:szCs w:val="20"/>
                <w:highlight w:val="none"/>
                <w:lang w:val="ru-RU"/>
              </w:rPr>
              <w:t>27,4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6.</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w:t>
            </w:r>
            <w:r>
              <w:rPr>
                <w:rFonts w:hint="default" w:ascii="Gotham Pro" w:hAnsi="Gotham Pro" w:cs="Gotham Pro"/>
                <w:b/>
                <w:sz w:val="20"/>
                <w:szCs w:val="20"/>
                <w:lang w:val="ru-RU"/>
              </w:rPr>
              <w:t>а</w:t>
            </w:r>
            <w:r>
              <w:rPr>
                <w:rFonts w:hint="default" w:ascii="Gotham Pro" w:hAnsi="Gotham Pro" w:cs="Gotham Pro"/>
                <w:b/>
                <w:sz w:val="20"/>
                <w:szCs w:val="20"/>
              </w:rPr>
              <w:t xml:space="preserve"> сельскохозяйственного использования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highlight w:val="none"/>
                <w:lang w:val="ru-RU"/>
              </w:rPr>
            </w:pPr>
            <w:r>
              <w:rPr>
                <w:rFonts w:hint="default" w:ascii="Gotham Pro" w:hAnsi="Gotham Pro" w:cs="Gotham Pro"/>
                <w:b/>
                <w:sz w:val="20"/>
                <w:szCs w:val="20"/>
                <w:highlight w:val="none"/>
                <w:lang w:val="ru-RU"/>
              </w:rPr>
              <w:t>1561,8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7.</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Иные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lang w:val="ru-RU"/>
              </w:rPr>
            </w:pPr>
            <w:r>
              <w:rPr>
                <w:rFonts w:hint="default" w:ascii="Gotham Pro" w:hAnsi="Gotham Pro" w:cs="Gotham Pro"/>
                <w:b/>
                <w:sz w:val="20"/>
                <w:szCs w:val="20"/>
                <w:lang w:val="ru-RU"/>
              </w:rPr>
              <w:t>275,9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7.1.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lang w:val="ru-RU"/>
              </w:rPr>
            </w:pPr>
            <w:r>
              <w:rPr>
                <w:rFonts w:hint="default" w:ascii="Gotham Pro" w:hAnsi="Gotham Pro" w:cs="Gotham Pro"/>
                <w:sz w:val="20"/>
                <w:szCs w:val="20"/>
                <w:shd w:val="clear" w:color="auto" w:fill="FFFFFF"/>
              </w:rPr>
              <w:t>Зона объектов культурного наследия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lang w:val="ru-RU"/>
              </w:rPr>
            </w:pPr>
            <w:r>
              <w:rPr>
                <w:rFonts w:hint="default" w:ascii="Gotham Pro" w:hAnsi="Gotham Pro" w:cs="Gotham Pro"/>
                <w:b w:val="0"/>
                <w:bCs/>
                <w:sz w:val="20"/>
                <w:szCs w:val="20"/>
                <w:lang w:val="ru-RU"/>
              </w:rPr>
              <w:t>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7.2.</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lang w:val="ru-RU"/>
              </w:rPr>
            </w:pPr>
            <w:r>
              <w:rPr>
                <w:rFonts w:hint="default" w:ascii="Gotham Pro" w:hAnsi="Gotham Pro" w:cs="Gotham Pro"/>
                <w:sz w:val="20"/>
                <w:szCs w:val="20"/>
                <w:lang w:val="ru-RU"/>
              </w:rPr>
              <w:t>Территории общего 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val="0"/>
                <w:bCs/>
                <w:sz w:val="20"/>
                <w:szCs w:val="20"/>
                <w:lang w:val="ru-RU"/>
              </w:rPr>
            </w:pPr>
            <w:r>
              <w:rPr>
                <w:rFonts w:hint="default" w:ascii="Gotham Pro" w:hAnsi="Gotham Pro" w:cs="Gotham Pro"/>
                <w:b w:val="0"/>
                <w:bCs/>
                <w:sz w:val="20"/>
                <w:szCs w:val="20"/>
                <w:lang w:val="ru-RU"/>
              </w:rPr>
              <w:t>275,8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Всего площадь с. Сосново-Озерское</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lang w:val="ru-RU"/>
              </w:rPr>
            </w:pPr>
            <w:r>
              <w:rPr>
                <w:rFonts w:hint="default" w:ascii="Gotham Pro" w:hAnsi="Gotham Pro" w:cs="Gotham Pro"/>
                <w:b/>
                <w:sz w:val="20"/>
                <w:szCs w:val="20"/>
                <w:lang w:val="ru-RU"/>
              </w:rPr>
              <w:t>2518,4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с. Укыр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1</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Жилые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b/>
                <w:sz w:val="20"/>
                <w:szCs w:val="20"/>
                <w:lang w:val="ru-RU"/>
              </w:rPr>
              <w:t>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1</w:t>
            </w:r>
            <w:r>
              <w:rPr>
                <w:rFonts w:hint="default" w:ascii="Gotham Pro" w:hAnsi="Gotham Pro" w:cs="Gotham Pro"/>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Зона застройки индивидуальными </w:t>
            </w:r>
            <w:r>
              <w:rPr>
                <w:rFonts w:hint="default" w:ascii="Gotham Pro" w:hAnsi="Gotham Pro" w:cs="Gotham Pro"/>
                <w:sz w:val="20"/>
                <w:szCs w:val="20"/>
                <w:lang w:val="ru-RU"/>
              </w:rPr>
              <w:t xml:space="preserve">и малоэтажными </w:t>
            </w:r>
            <w:r>
              <w:rPr>
                <w:rFonts w:hint="default" w:ascii="Gotham Pro" w:hAnsi="Gotham Pro" w:cs="Gotham Pro"/>
                <w:sz w:val="20"/>
                <w:szCs w:val="20"/>
              </w:rPr>
              <w:t>жилыми домами</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2</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Общественно-деловые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lang w:val="ru-RU"/>
              </w:rPr>
            </w:pPr>
            <w:r>
              <w:rPr>
                <w:rFonts w:hint="default" w:ascii="Gotham Pro" w:hAnsi="Gotham Pro" w:cs="Gotham Pro"/>
                <w:b/>
                <w:bCs/>
                <w:sz w:val="20"/>
                <w:szCs w:val="20"/>
                <w:lang w:val="ru-RU"/>
              </w:rPr>
              <w:t>0,12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3</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Производственная зона, зона инженерной и транспортной инфраструктур</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b/>
                <w:bCs/>
                <w:sz w:val="20"/>
                <w:szCs w:val="20"/>
                <w:lang w:val="ru-RU"/>
              </w:rPr>
              <w:t>4,15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3</w:t>
            </w:r>
            <w:r>
              <w:rPr>
                <w:rFonts w:hint="default" w:ascii="Gotham Pro" w:hAnsi="Gotham Pro" w:cs="Gotham Pro"/>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Производственная зона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3</w:t>
            </w:r>
            <w:r>
              <w:rPr>
                <w:rFonts w:hint="default" w:ascii="Gotham Pro" w:hAnsi="Gotham Pro" w:cs="Gotham Pro"/>
                <w:sz w:val="20"/>
                <w:szCs w:val="20"/>
              </w:rPr>
              <w:t>.</w:t>
            </w:r>
            <w:r>
              <w:rPr>
                <w:rFonts w:hint="default" w:ascii="Gotham Pro" w:hAnsi="Gotham Pro" w:cs="Gotham Pro"/>
                <w:sz w:val="20"/>
                <w:szCs w:val="20"/>
                <w:lang w:val="ru-RU"/>
              </w:rPr>
              <w:t>2</w:t>
            </w:r>
            <w:r>
              <w:rPr>
                <w:rFonts w:hint="default" w:ascii="Gotham Pro" w:hAnsi="Gotham Pro" w:cs="Gotham Pro"/>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инженерной инфраструктуры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lang w:val="ru-RU"/>
              </w:rPr>
            </w:pPr>
            <w:r>
              <w:rPr>
                <w:rFonts w:hint="default" w:ascii="Gotham Pro" w:hAnsi="Gotham Pro" w:cs="Gotham Pro"/>
                <w:b/>
                <w:sz w:val="20"/>
                <w:szCs w:val="20"/>
                <w:lang w:val="ru-RU"/>
              </w:rPr>
              <w:t>4.</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специального назначения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b/>
                <w:sz w:val="20"/>
                <w:szCs w:val="20"/>
                <w:lang w:val="ru-RU"/>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4</w:t>
            </w:r>
            <w:r>
              <w:rPr>
                <w:rFonts w:hint="default" w:ascii="Gotham Pro" w:hAnsi="Gotham Pro" w:cs="Gotham Pro"/>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Зона кладбищ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val="ru-RU"/>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5</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сельскохозяйственного использования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b/>
                <w:sz w:val="20"/>
                <w:szCs w:val="20"/>
                <w:lang w:val="ru-RU"/>
              </w:rPr>
              <w:t>53,7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bCs/>
                <w:sz w:val="20"/>
                <w:szCs w:val="20"/>
                <w:highlight w:val="none"/>
                <w:lang w:val="ru-RU"/>
              </w:rPr>
            </w:pPr>
            <w:r>
              <w:rPr>
                <w:rFonts w:hint="default" w:ascii="Gotham Pro" w:hAnsi="Gotham Pro" w:cs="Gotham Pro"/>
                <w:b/>
                <w:bCs/>
                <w:sz w:val="20"/>
                <w:szCs w:val="20"/>
                <w:highlight w:val="none"/>
                <w:lang w:val="ru-RU"/>
              </w:rPr>
              <w:t>6.</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bCs/>
                <w:sz w:val="20"/>
                <w:szCs w:val="20"/>
                <w:highlight w:val="none"/>
                <w:lang w:val="ru-RU"/>
              </w:rPr>
            </w:pPr>
            <w:r>
              <w:rPr>
                <w:rFonts w:hint="default" w:ascii="Gotham Pro" w:hAnsi="Gotham Pro" w:cs="Gotham Pro"/>
                <w:b/>
                <w:bCs/>
                <w:sz w:val="20"/>
                <w:szCs w:val="20"/>
                <w:highlight w:val="none"/>
                <w:lang w:val="ru-RU"/>
              </w:rPr>
              <w:t>Иные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highlight w:val="none"/>
                <w:lang w:val="ru-RU"/>
              </w:rPr>
            </w:pPr>
            <w:r>
              <w:rPr>
                <w:rFonts w:hint="default" w:ascii="Gotham Pro" w:hAnsi="Gotham Pro" w:cs="Gotham Pro"/>
                <w:b/>
                <w:bCs/>
                <w:sz w:val="20"/>
                <w:szCs w:val="20"/>
                <w:highlight w:val="none"/>
                <w:lang w:val="ru-RU"/>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val="0"/>
                <w:bCs w:val="0"/>
                <w:sz w:val="20"/>
                <w:szCs w:val="20"/>
                <w:highlight w:val="none"/>
                <w:lang w:val="ru-RU"/>
              </w:rPr>
            </w:pPr>
            <w:r>
              <w:rPr>
                <w:rFonts w:hint="default" w:ascii="Gotham Pro" w:hAnsi="Gotham Pro" w:cs="Gotham Pro"/>
                <w:b w:val="0"/>
                <w:bCs w:val="0"/>
                <w:sz w:val="20"/>
                <w:szCs w:val="20"/>
                <w:highlight w:val="none"/>
                <w:lang w:val="ru-RU"/>
              </w:rPr>
              <w:t>6.1.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val="0"/>
                <w:bCs w:val="0"/>
                <w:sz w:val="20"/>
                <w:szCs w:val="20"/>
                <w:highlight w:val="none"/>
                <w:lang w:val="ru-RU"/>
              </w:rPr>
            </w:pPr>
            <w:r>
              <w:rPr>
                <w:rFonts w:hint="default" w:ascii="Gotham Pro" w:hAnsi="Gotham Pro" w:cs="Gotham Pro"/>
                <w:b w:val="0"/>
                <w:bCs w:val="0"/>
                <w:sz w:val="20"/>
                <w:szCs w:val="20"/>
                <w:highlight w:val="none"/>
                <w:lang w:val="ru-RU"/>
              </w:rPr>
              <w:t>Территории общего 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highlight w:val="none"/>
                <w:lang w:val="ru-RU"/>
              </w:rPr>
            </w:pPr>
            <w:r>
              <w:rPr>
                <w:rFonts w:hint="default" w:ascii="Gotham Pro" w:hAnsi="Gotham Pro" w:cs="Gotham Pro"/>
                <w:b w:val="0"/>
                <w:bCs w:val="0"/>
                <w:sz w:val="20"/>
                <w:szCs w:val="20"/>
                <w:highlight w:val="none"/>
                <w:lang w:val="ru-RU"/>
              </w:rPr>
              <w:t>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rPr>
            </w:pP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highlight w:val="none"/>
              </w:rPr>
            </w:pPr>
            <w:r>
              <w:rPr>
                <w:rFonts w:hint="default" w:ascii="Gotham Pro" w:hAnsi="Gotham Pro" w:cs="Gotham Pro"/>
                <w:b/>
                <w:sz w:val="20"/>
                <w:szCs w:val="20"/>
                <w:highlight w:val="none"/>
              </w:rPr>
              <w:t>Всего площадь с. Укыр</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highlight w:val="none"/>
                <w:lang w:val="ru-RU"/>
              </w:rPr>
            </w:pPr>
            <w:r>
              <w:rPr>
                <w:rFonts w:hint="default" w:ascii="Gotham Pro" w:hAnsi="Gotham Pro" w:cs="Gotham Pro"/>
                <w:b/>
                <w:bCs/>
                <w:sz w:val="20"/>
                <w:szCs w:val="20"/>
                <w:highlight w:val="none"/>
                <w:lang w:val="ru-RU"/>
              </w:rPr>
              <w:t>102,4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853" w:type="dxa"/>
            <w:gridSpan w:val="3"/>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rPr>
            </w:pPr>
            <w:r>
              <w:rPr>
                <w:rFonts w:hint="default" w:ascii="Gotham Pro" w:hAnsi="Gotham Pro" w:cs="Gotham Pro"/>
                <w:b/>
                <w:bCs/>
                <w:sz w:val="20"/>
                <w:szCs w:val="20"/>
              </w:rPr>
              <w:t>с. Домна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Жилые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lang w:val="ru-RU"/>
              </w:rPr>
            </w:pPr>
            <w:r>
              <w:rPr>
                <w:rFonts w:hint="default" w:ascii="Gotham Pro" w:hAnsi="Gotham Pro" w:cs="Gotham Pro"/>
                <w:b/>
                <w:bCs/>
                <w:sz w:val="20"/>
                <w:szCs w:val="20"/>
                <w:lang w:val="ru-RU"/>
              </w:rPr>
              <w:t>40,9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1</w:t>
            </w:r>
            <w:r>
              <w:rPr>
                <w:rFonts w:hint="default" w:ascii="Gotham Pro" w:hAnsi="Gotham Pro" w:cs="Gotham Pro"/>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Зона застройки индивидуальными </w:t>
            </w:r>
            <w:r>
              <w:rPr>
                <w:rFonts w:hint="default" w:ascii="Gotham Pro" w:hAnsi="Gotham Pro" w:cs="Gotham Pro"/>
                <w:sz w:val="20"/>
                <w:szCs w:val="20"/>
                <w:lang w:val="ru-RU"/>
              </w:rPr>
              <w:t xml:space="preserve">и малоэтажными </w:t>
            </w:r>
            <w:r>
              <w:rPr>
                <w:rFonts w:hint="default" w:ascii="Gotham Pro" w:hAnsi="Gotham Pro" w:cs="Gotham Pro"/>
                <w:sz w:val="20"/>
                <w:szCs w:val="20"/>
              </w:rPr>
              <w:t>жилыми домами</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lang w:val="ru-RU"/>
              </w:rPr>
            </w:pPr>
            <w:r>
              <w:rPr>
                <w:rFonts w:hint="default" w:ascii="Gotham Pro" w:hAnsi="Gotham Pro" w:cs="Gotham Pro"/>
                <w:b/>
                <w:sz w:val="20"/>
                <w:szCs w:val="20"/>
                <w:lang w:val="ru-RU"/>
              </w:rPr>
              <w:t>2.</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 xml:space="preserve">Общественно-деловые зоны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lang w:val="ru-RU"/>
              </w:rPr>
            </w:pPr>
            <w:r>
              <w:rPr>
                <w:rFonts w:hint="default" w:ascii="Gotham Pro" w:hAnsi="Gotham Pro" w:cs="Gotham Pro"/>
                <w:b/>
                <w:bCs/>
                <w:sz w:val="20"/>
                <w:szCs w:val="20"/>
                <w:lang w:val="ru-RU"/>
              </w:rPr>
              <w:t>0,6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3</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Производственная зона, зона инженерной и транспортной инфраструктур</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3,7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3</w:t>
            </w:r>
            <w:r>
              <w:rPr>
                <w:rFonts w:hint="default" w:ascii="Gotham Pro" w:hAnsi="Gotham Pro" w:cs="Gotham Pro"/>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Производственная зона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3</w:t>
            </w:r>
            <w:r>
              <w:rPr>
                <w:rFonts w:hint="default" w:ascii="Gotham Pro" w:hAnsi="Gotham Pro" w:cs="Gotham Pro"/>
                <w:sz w:val="20"/>
                <w:szCs w:val="20"/>
              </w:rPr>
              <w:t>.</w:t>
            </w:r>
            <w:r>
              <w:rPr>
                <w:rFonts w:hint="default" w:ascii="Gotham Pro" w:hAnsi="Gotham Pro" w:cs="Gotham Pro"/>
                <w:sz w:val="20"/>
                <w:szCs w:val="20"/>
                <w:lang w:val="ru-RU"/>
              </w:rPr>
              <w:t>2</w:t>
            </w:r>
            <w:r>
              <w:rPr>
                <w:rFonts w:hint="default" w:ascii="Gotham Pro" w:hAnsi="Gotham Pro" w:cs="Gotham Pro"/>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инженерной инфраструктуры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4</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сельскохозяйственного использования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b/>
                <w:bCs/>
                <w:sz w:val="20"/>
                <w:szCs w:val="20"/>
                <w:lang w:val="ru-RU"/>
              </w:rPr>
              <w:t>62,1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bCs/>
                <w:sz w:val="20"/>
                <w:szCs w:val="20"/>
                <w:highlight w:val="none"/>
                <w:lang w:val="ru-RU"/>
              </w:rPr>
            </w:pPr>
            <w:r>
              <w:rPr>
                <w:rFonts w:hint="default" w:ascii="Gotham Pro" w:hAnsi="Gotham Pro" w:cs="Gotham Pro"/>
                <w:b/>
                <w:bCs/>
                <w:sz w:val="20"/>
                <w:szCs w:val="20"/>
                <w:highlight w:val="none"/>
                <w:lang w:val="ru-RU"/>
              </w:rPr>
              <w:t>5.</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rPr>
            </w:pPr>
            <w:r>
              <w:rPr>
                <w:rFonts w:hint="default" w:ascii="Gotham Pro" w:hAnsi="Gotham Pro" w:cs="Gotham Pro"/>
                <w:b/>
                <w:bCs/>
                <w:sz w:val="20"/>
                <w:szCs w:val="20"/>
                <w:highlight w:val="none"/>
                <w:lang w:val="ru-RU"/>
              </w:rPr>
              <w:t>Иные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highlight w:val="none"/>
                <w:lang w:val="ru-RU"/>
              </w:rPr>
            </w:pPr>
            <w:r>
              <w:rPr>
                <w:rFonts w:hint="default" w:ascii="Gotham Pro" w:hAnsi="Gotham Pro" w:cs="Gotham Pro"/>
                <w:b/>
                <w:bCs/>
                <w:sz w:val="20"/>
                <w:szCs w:val="20"/>
                <w:highlight w:val="none"/>
                <w:lang w:val="ru-RU"/>
              </w:rPr>
              <w:t>10,5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val="0"/>
                <w:bCs w:val="0"/>
                <w:sz w:val="20"/>
                <w:szCs w:val="20"/>
                <w:highlight w:val="none"/>
                <w:lang w:val="ru-RU"/>
              </w:rPr>
            </w:pPr>
            <w:r>
              <w:rPr>
                <w:rFonts w:hint="default" w:ascii="Gotham Pro" w:hAnsi="Gotham Pro" w:cs="Gotham Pro"/>
                <w:b w:val="0"/>
                <w:bCs w:val="0"/>
                <w:sz w:val="20"/>
                <w:szCs w:val="20"/>
                <w:highlight w:val="none"/>
                <w:lang w:val="ru-RU"/>
              </w:rPr>
              <w:t>5.1.</w:t>
            </w:r>
          </w:p>
        </w:tc>
        <w:tc>
          <w:tcPr>
            <w:tcW w:w="6345" w:type="dxa"/>
            <w:tcBorders>
              <w:top w:val="single" w:color="auto" w:sz="4" w:space="0"/>
              <w:left w:val="single" w:color="auto" w:sz="4" w:space="0"/>
              <w:bottom w:val="single" w:color="auto" w:sz="4" w:space="0"/>
              <w:right w:val="single" w:color="auto" w:sz="4" w:space="0"/>
            </w:tcBorders>
            <w:shd w:val="clear" w:color="auto" w:fill="FFFFFF" w:themeFill="background1"/>
            <w:noWrap w:val="0"/>
            <w:vAlign w:val="top"/>
          </w:tcPr>
          <w:p>
            <w:pPr>
              <w:pStyle w:val="11"/>
              <w:rPr>
                <w:rFonts w:hint="default" w:ascii="Gotham Pro" w:hAnsi="Gotham Pro" w:cs="Gotham Pro"/>
                <w:b w:val="0"/>
                <w:bCs w:val="0"/>
                <w:i w:val="0"/>
                <w:iCs w:val="0"/>
                <w:color w:val="000000" w:themeColor="text1"/>
                <w:sz w:val="20"/>
                <w:szCs w:val="20"/>
                <w:highlight w:val="none"/>
                <w:u w:val="none"/>
                <w:lang w:val="ru-RU"/>
                <w14:textFill>
                  <w14:solidFill>
                    <w14:schemeClr w14:val="tx1"/>
                  </w14:solidFill>
                </w14:textFill>
              </w:rPr>
            </w:pPr>
            <w:r>
              <w:rPr>
                <w:rFonts w:hint="default" w:ascii="Gotham Pro" w:hAnsi="Gotham Pro" w:eastAsia="Calibri" w:cs="Gotham Pro"/>
                <w:b w:val="0"/>
                <w:bCs w:val="0"/>
                <w:i w:val="0"/>
                <w:iCs w:val="0"/>
                <w:caps w:val="0"/>
                <w:color w:val="000000" w:themeColor="text1"/>
                <w:spacing w:val="0"/>
                <w:sz w:val="20"/>
                <w:szCs w:val="20"/>
                <w:highlight w:val="none"/>
                <w:u w:val="none"/>
                <w:shd w:val="clear" w:fill="FFFFFF"/>
                <w14:textFill>
                  <w14:solidFill>
                    <w14:schemeClr w14:val="tx1"/>
                  </w14:solidFill>
                </w14:textFill>
              </w:rPr>
              <w:t>Зона объектов культурного наследия</w:t>
            </w:r>
            <w:r>
              <w:rPr>
                <w:rFonts w:hint="default" w:ascii="Gotham Pro" w:hAnsi="Gotham Pro" w:eastAsia="Calibri" w:cs="Gotham Pro"/>
                <w:b w:val="0"/>
                <w:bCs w:val="0"/>
                <w:i w:val="0"/>
                <w:iCs w:val="0"/>
                <w:caps w:val="0"/>
                <w:color w:val="000000" w:themeColor="text1"/>
                <w:spacing w:val="0"/>
                <w:sz w:val="20"/>
                <w:szCs w:val="20"/>
                <w:highlight w:val="none"/>
                <w:u w:val="none"/>
                <w:shd w:val="clear" w:fill="FFFFFF"/>
                <w:lang w:val="ru-RU"/>
                <w14:textFill>
                  <w14:solidFill>
                    <w14:schemeClr w14:val="tx1"/>
                  </w14:solidFill>
                </w14:textFill>
              </w:rPr>
              <w:t xml:space="preserve">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lang w:val="ru-RU"/>
              </w:rPr>
            </w:pPr>
          </w:p>
          <w:p>
            <w:pPr>
              <w:pStyle w:val="11"/>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5.2.</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val="0"/>
                <w:bCs w:val="0"/>
                <w:sz w:val="20"/>
                <w:szCs w:val="20"/>
                <w:highlight w:val="none"/>
                <w:lang w:val="ru-RU"/>
              </w:rPr>
            </w:pPr>
          </w:p>
          <w:p>
            <w:pPr>
              <w:pStyle w:val="11"/>
              <w:rPr>
                <w:rFonts w:hint="default" w:ascii="Gotham Pro" w:hAnsi="Gotham Pro" w:cs="Gotham Pro"/>
                <w:sz w:val="20"/>
                <w:szCs w:val="20"/>
                <w:highlight w:val="none"/>
                <w:lang w:val="ru-RU"/>
              </w:rPr>
            </w:pPr>
            <w:r>
              <w:rPr>
                <w:rFonts w:hint="default" w:ascii="Gotham Pro" w:hAnsi="Gotham Pro" w:cs="Gotham Pro"/>
                <w:b w:val="0"/>
                <w:bCs w:val="0"/>
                <w:sz w:val="20"/>
                <w:szCs w:val="20"/>
                <w:highlight w:val="none"/>
                <w:lang w:val="ru-RU"/>
              </w:rPr>
              <w:t>Территории общего 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lang w:val="ru-RU"/>
              </w:rPr>
            </w:pPr>
          </w:p>
          <w:p>
            <w:pPr>
              <w:pStyle w:val="11"/>
              <w:jc w:val="center"/>
              <w:rPr>
                <w:rFonts w:hint="default" w:ascii="Gotham Pro" w:hAnsi="Gotham Pro" w:cs="Gotham Pro"/>
                <w:sz w:val="20"/>
                <w:szCs w:val="20"/>
                <w:highlight w:val="none"/>
                <w:lang w:val="ru-RU"/>
              </w:rPr>
            </w:pPr>
            <w:r>
              <w:rPr>
                <w:rFonts w:hint="default" w:ascii="Gotham Pro" w:hAnsi="Gotham Pro" w:cs="Gotham Pro"/>
                <w:sz w:val="20"/>
                <w:szCs w:val="20"/>
                <w:highlight w:val="none"/>
                <w:lang w:val="ru-RU"/>
              </w:rPr>
              <w:t>10,3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Всего площадь с. Домна</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bCs/>
                <w:sz w:val="20"/>
                <w:szCs w:val="20"/>
                <w:lang w:val="ru-RU"/>
              </w:rPr>
            </w:pPr>
            <w:r>
              <w:rPr>
                <w:rFonts w:hint="default" w:ascii="Gotham Pro" w:hAnsi="Gotham Pro" w:cs="Gotham Pro"/>
                <w:b/>
                <w:bCs/>
                <w:sz w:val="20"/>
                <w:szCs w:val="20"/>
                <w:lang w:val="ru-RU"/>
              </w:rPr>
              <w:t>117,8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пос. Гарам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Жилые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b/>
                <w:sz w:val="20"/>
                <w:szCs w:val="20"/>
                <w:lang w:val="ru-RU"/>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1.1.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Зона застройки индивидуальными </w:t>
            </w:r>
            <w:r>
              <w:rPr>
                <w:rFonts w:hint="default" w:ascii="Gotham Pro" w:hAnsi="Gotham Pro" w:cs="Gotham Pro"/>
                <w:sz w:val="20"/>
                <w:szCs w:val="20"/>
                <w:lang w:val="ru-RU"/>
              </w:rPr>
              <w:t xml:space="preserve">и малоэтажными </w:t>
            </w:r>
            <w:r>
              <w:rPr>
                <w:rFonts w:hint="default" w:ascii="Gotham Pro" w:hAnsi="Gotham Pro" w:cs="Gotham Pro"/>
                <w:sz w:val="20"/>
                <w:szCs w:val="20"/>
              </w:rPr>
              <w:t>жилыми домами</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rPr>
            </w:pPr>
            <w:r>
              <w:rPr>
                <w:rFonts w:hint="default" w:ascii="Gotham Pro" w:hAnsi="Gotham Pro" w:cs="Gotham Pro"/>
                <w:sz w:val="20"/>
                <w:szCs w:val="20"/>
                <w:lang w:val="ru-RU"/>
              </w:rPr>
              <w:t>16,3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2</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Общественно-деловые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b/>
                <w:bCs/>
                <w:sz w:val="20"/>
                <w:szCs w:val="20"/>
                <w:lang w:val="ru-RU"/>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3</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Производственная зона, зона инженерной и транспортной инфраструктур</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b/>
                <w:bCs/>
                <w:sz w:val="20"/>
                <w:szCs w:val="20"/>
                <w:lang w:val="ru-RU"/>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lang w:val="ru-RU"/>
              </w:rPr>
              <w:t>3</w:t>
            </w:r>
            <w:r>
              <w:rPr>
                <w:rFonts w:hint="default" w:ascii="Gotham Pro" w:hAnsi="Gotham Pro" w:cs="Gotham Pro"/>
                <w:sz w:val="20"/>
                <w:szCs w:val="20"/>
              </w:rPr>
              <w:t>.1.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Производственная зона </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4</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сельскохозяйственного использования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b/>
                <w:bCs/>
                <w:sz w:val="20"/>
                <w:szCs w:val="20"/>
                <w:lang w:val="ru-RU"/>
              </w:rPr>
              <w:t>16,6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lang w:val="ru-RU"/>
              </w:rPr>
              <w:t>5</w:t>
            </w:r>
            <w:r>
              <w:rPr>
                <w:rFonts w:hint="default" w:ascii="Gotham Pro" w:hAnsi="Gotham Pro" w:cs="Gotham Pro"/>
                <w:b/>
                <w:sz w:val="20"/>
                <w:szCs w:val="20"/>
              </w:rPr>
              <w:t>.</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w:t>
            </w:r>
            <w:r>
              <w:rPr>
                <w:rFonts w:hint="default" w:ascii="Gotham Pro" w:hAnsi="Gotham Pro" w:cs="Gotham Pro"/>
                <w:b/>
                <w:sz w:val="20"/>
                <w:szCs w:val="20"/>
                <w:lang w:val="ru-RU"/>
              </w:rPr>
              <w:t xml:space="preserve">а </w:t>
            </w:r>
            <w:r>
              <w:rPr>
                <w:rFonts w:hint="default" w:ascii="Gotham Pro" w:hAnsi="Gotham Pro" w:cs="Gotham Pro"/>
                <w:b/>
                <w:sz w:val="20"/>
                <w:szCs w:val="20"/>
              </w:rPr>
              <w:t>рекреационного назначения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b/>
                <w:sz w:val="20"/>
                <w:szCs w:val="20"/>
                <w:lang w:val="ru-RU"/>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rPr>
            </w:pPr>
            <w:r>
              <w:rPr>
                <w:rFonts w:hint="default" w:ascii="Gotham Pro" w:hAnsi="Gotham Pro" w:cs="Gotham Pro"/>
                <w:b/>
                <w:bCs/>
                <w:sz w:val="20"/>
                <w:szCs w:val="20"/>
                <w:highlight w:val="none"/>
                <w:lang w:val="ru-RU"/>
              </w:rPr>
              <w:t>6.</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rPr>
            </w:pPr>
            <w:r>
              <w:rPr>
                <w:rFonts w:hint="default" w:ascii="Gotham Pro" w:hAnsi="Gotham Pro" w:cs="Gotham Pro"/>
                <w:b/>
                <w:bCs/>
                <w:sz w:val="20"/>
                <w:szCs w:val="20"/>
                <w:highlight w:val="none"/>
                <w:lang w:val="ru-RU"/>
              </w:rPr>
              <w:t>Иные зоны</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rPr>
            </w:pPr>
            <w:r>
              <w:rPr>
                <w:rFonts w:hint="default" w:ascii="Gotham Pro" w:hAnsi="Gotham Pro" w:cs="Gotham Pro"/>
                <w:b/>
                <w:bCs/>
                <w:sz w:val="20"/>
                <w:szCs w:val="20"/>
                <w:highlight w:val="none"/>
                <w:lang w:val="ru-RU"/>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rPr>
            </w:pPr>
            <w:r>
              <w:rPr>
                <w:rFonts w:hint="default" w:ascii="Gotham Pro" w:hAnsi="Gotham Pro" w:cs="Gotham Pro"/>
                <w:sz w:val="20"/>
                <w:szCs w:val="20"/>
                <w:highlight w:val="none"/>
                <w:lang w:val="ru-RU"/>
              </w:rPr>
              <w:t>6.1.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highlight w:val="none"/>
                <w:lang w:val="ru-RU"/>
              </w:rPr>
            </w:pPr>
            <w:r>
              <w:rPr>
                <w:rFonts w:hint="default" w:ascii="Gotham Pro" w:hAnsi="Gotham Pro" w:cs="Gotham Pro"/>
                <w:b w:val="0"/>
                <w:bCs w:val="0"/>
                <w:sz w:val="20"/>
                <w:szCs w:val="20"/>
                <w:highlight w:val="none"/>
                <w:lang w:val="ru-RU"/>
              </w:rPr>
              <w:t>Территории общего пользования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highlight w:val="none"/>
              </w:rPr>
            </w:pPr>
            <w:r>
              <w:rPr>
                <w:rFonts w:hint="default" w:ascii="Gotham Pro" w:hAnsi="Gotham Pro" w:cs="Gotham Pro"/>
                <w:b w:val="0"/>
                <w:bCs w:val="0"/>
                <w:sz w:val="20"/>
                <w:szCs w:val="20"/>
                <w:highlight w:val="none"/>
                <w:lang w:val="ru-RU"/>
              </w:rPr>
              <w:t>11.8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Всего площадь пос. Гарам</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b/>
                <w:bCs/>
                <w:sz w:val="20"/>
                <w:szCs w:val="20"/>
                <w:lang w:val="ru-RU"/>
              </w:rPr>
              <w:t>50,5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shd w:val="clear" w:color="auto" w:fill="00B0F0"/>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земли промышленности, энергетики, транспорта, связи, радиовещания, телевидения, информатики, земли для обеспечения космической деятельности, земли обороны, безопасности и земли иного специального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1.</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Производственная зона, зона инженерной и транспортной инфраструктур</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b/>
                <w:bCs/>
                <w:sz w:val="20"/>
                <w:szCs w:val="20"/>
                <w:lang w:val="ru-RU"/>
              </w:rPr>
            </w:pPr>
            <w:r>
              <w:rPr>
                <w:rFonts w:hint="default" w:ascii="Gotham Pro" w:hAnsi="Gotham Pro" w:cs="Gotham Pro"/>
                <w:b/>
                <w:bCs/>
                <w:sz w:val="20"/>
                <w:szCs w:val="20"/>
                <w:lang w:val="ru-RU"/>
              </w:rPr>
              <w:t>1029,8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1.1.</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Производственная зона </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913,4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1.2.</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транспортной инфраструктуры</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99,0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1.3.</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инженерной инфраструктуры</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2.</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Зона специального назначения</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b/>
                <w:bCs/>
                <w:sz w:val="20"/>
                <w:szCs w:val="20"/>
                <w:lang w:val="ru-RU"/>
              </w:rPr>
            </w:pPr>
            <w:r>
              <w:rPr>
                <w:rFonts w:hint="default" w:ascii="Gotham Pro" w:hAnsi="Gotham Pro" w:cs="Gotham Pro"/>
                <w:b/>
                <w:bCs/>
                <w:sz w:val="20"/>
                <w:szCs w:val="20"/>
                <w:lang w:val="ru-RU"/>
              </w:rPr>
              <w:t>7,7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 w:hRule="atLeast"/>
        </w:trPr>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2.1.</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 xml:space="preserve">Зона складирования и захоронения отходов </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5.1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2.2.</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Зона кладбищ</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shd w:val="clear" w:color="auto" w:fill="92D050"/>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 xml:space="preserve">Земли особо охраняемых территорий и объектов - земли рекреационного назначения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3.</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рекреационного назначения</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highlight w:val="none"/>
              </w:rPr>
            </w:pPr>
            <w:r>
              <w:rPr>
                <w:rFonts w:hint="default" w:ascii="Gotham Pro" w:hAnsi="Gotham Pro" w:cs="Gotham Pro"/>
                <w:sz w:val="20"/>
                <w:szCs w:val="20"/>
                <w:highlight w:val="none"/>
              </w:rPr>
              <w:t>3.1.</w:t>
            </w:r>
          </w:p>
        </w:tc>
        <w:tc>
          <w:tcPr>
            <w:tcW w:w="6345"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highlight w:val="none"/>
              </w:rPr>
            </w:pPr>
            <w:r>
              <w:rPr>
                <w:rFonts w:hint="default" w:ascii="Gotham Pro" w:hAnsi="Gotham Pro" w:cs="Gotham Pro"/>
                <w:sz w:val="20"/>
                <w:szCs w:val="20"/>
                <w:highlight w:val="none"/>
              </w:rPr>
              <w:t>Зона отдыха</w:t>
            </w:r>
          </w:p>
        </w:tc>
        <w:tc>
          <w:tcPr>
            <w:tcW w:w="2820"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jc w:val="center"/>
              <w:rPr>
                <w:rFonts w:hint="default" w:ascii="Gotham Pro" w:hAnsi="Gotham Pro" w:cs="Gotham Pro"/>
                <w:b/>
                <w:sz w:val="20"/>
                <w:szCs w:val="20"/>
                <w:highlight w:val="none"/>
              </w:rPr>
            </w:pPr>
            <w:r>
              <w:rPr>
                <w:rFonts w:hint="default" w:ascii="Gotham Pro" w:hAnsi="Gotham Pro" w:cs="Gotham Pro"/>
                <w:b/>
                <w:sz w:val="20"/>
                <w:szCs w:val="20"/>
                <w:highlight w:val="none"/>
              </w:rPr>
              <w:t>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shd w:val="clear" w:color="auto" w:fill="FFFF00"/>
            <w:noWrap w:val="0"/>
            <w:vAlign w:val="top"/>
          </w:tcPr>
          <w:p>
            <w:pPr>
              <w:pStyle w:val="11"/>
              <w:jc w:val="center"/>
              <w:rPr>
                <w:rFonts w:hint="default" w:ascii="Gotham Pro" w:hAnsi="Gotham Pro" w:cs="Gotham Pro"/>
                <w:b/>
                <w:sz w:val="20"/>
                <w:szCs w:val="20"/>
              </w:rPr>
            </w:pPr>
            <w:r>
              <w:rPr>
                <w:rFonts w:hint="default" w:ascii="Gotham Pro" w:hAnsi="Gotham Pro" w:cs="Gotham Pro"/>
                <w:b/>
                <w:sz w:val="20"/>
                <w:szCs w:val="20"/>
              </w:rPr>
              <w:t>Земли сельскохозяйственного назначения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4.</w:t>
            </w:r>
          </w:p>
        </w:tc>
        <w:tc>
          <w:tcPr>
            <w:tcW w:w="6345"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11"/>
              <w:rPr>
                <w:rFonts w:hint="default" w:ascii="Gotham Pro" w:hAnsi="Gotham Pro" w:cs="Gotham Pro"/>
                <w:b/>
                <w:sz w:val="20"/>
                <w:szCs w:val="20"/>
              </w:rPr>
            </w:pPr>
            <w:r>
              <w:rPr>
                <w:rFonts w:hint="default" w:ascii="Gotham Pro" w:hAnsi="Gotham Pro" w:cs="Gotham Pro"/>
                <w:b/>
                <w:sz w:val="20"/>
                <w:szCs w:val="20"/>
              </w:rPr>
              <w:t>Зоны сельскохозяйственного использования</w:t>
            </w:r>
          </w:p>
        </w:tc>
        <w:tc>
          <w:tcPr>
            <w:tcW w:w="28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11"/>
              <w:jc w:val="center"/>
              <w:rPr>
                <w:rFonts w:hint="default" w:ascii="Gotham Pro" w:hAnsi="Gotham Pro" w:cs="Gotham Pro"/>
                <w:b/>
                <w:sz w:val="20"/>
                <w:szCs w:val="20"/>
                <w:lang w:val="ru-RU"/>
              </w:rPr>
            </w:pPr>
            <w:r>
              <w:rPr>
                <w:rFonts w:hint="default" w:ascii="Gotham Pro" w:hAnsi="Gotham Pro" w:cs="Gotham Pro"/>
                <w:b/>
                <w:sz w:val="20"/>
                <w:szCs w:val="20"/>
                <w:lang w:val="ru-RU"/>
              </w:rPr>
              <w:t>44028,4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shd w:val="clear" w:color="auto" w:fill="FFFFFF"/>
            <w:noWrap w:val="0"/>
            <w:vAlign w:val="top"/>
          </w:tcPr>
          <w:p>
            <w:pPr>
              <w:pStyle w:val="11"/>
              <w:rPr>
                <w:rFonts w:hint="default" w:ascii="Gotham Pro" w:hAnsi="Gotham Pro" w:cs="Gotham Pro"/>
                <w:sz w:val="20"/>
                <w:szCs w:val="20"/>
              </w:rPr>
            </w:pPr>
            <w:r>
              <w:rPr>
                <w:rFonts w:hint="default" w:ascii="Gotham Pro" w:hAnsi="Gotham Pro" w:cs="Gotham Pro"/>
                <w:sz w:val="20"/>
                <w:szCs w:val="20"/>
              </w:rPr>
              <w:t>4.1.</w:t>
            </w:r>
          </w:p>
        </w:tc>
        <w:tc>
          <w:tcPr>
            <w:tcW w:w="6345"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11"/>
              <w:rPr>
                <w:rFonts w:hint="default" w:ascii="Gotham Pro" w:hAnsi="Gotham Pro" w:cs="Gotham Pro"/>
                <w:sz w:val="20"/>
                <w:szCs w:val="20"/>
                <w:lang w:val="ru-RU"/>
              </w:rPr>
            </w:pPr>
            <w:r>
              <w:rPr>
                <w:rFonts w:hint="default" w:ascii="Gotham Pro" w:hAnsi="Gotham Pro" w:cs="Gotham Pro"/>
                <w:sz w:val="20"/>
                <w:szCs w:val="20"/>
                <w:lang w:val="ru-RU"/>
              </w:rPr>
              <w:t xml:space="preserve">Зона сельскохозяйственного использования </w:t>
            </w:r>
          </w:p>
        </w:tc>
        <w:tc>
          <w:tcPr>
            <w:tcW w:w="2820" w:type="dxa"/>
            <w:tcBorders>
              <w:top w:val="single" w:color="auto" w:sz="4" w:space="0"/>
              <w:left w:val="single" w:color="auto" w:sz="4" w:space="0"/>
              <w:bottom w:val="single" w:color="auto" w:sz="4" w:space="0"/>
              <w:right w:val="single" w:color="auto" w:sz="4" w:space="0"/>
            </w:tcBorders>
            <w:shd w:val="clear" w:color="auto" w:fill="auto"/>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44028,4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53" w:type="dxa"/>
            <w:gridSpan w:val="3"/>
            <w:tcBorders>
              <w:top w:val="single" w:color="auto" w:sz="4" w:space="0"/>
              <w:left w:val="single" w:color="auto" w:sz="4" w:space="0"/>
              <w:bottom w:val="single" w:color="auto" w:sz="4" w:space="0"/>
              <w:right w:val="single" w:color="auto" w:sz="4" w:space="0"/>
            </w:tcBorders>
            <w:shd w:val="clear" w:color="auto" w:fill="00B050"/>
            <w:noWrap w:val="0"/>
            <w:vAlign w:val="center"/>
          </w:tcPr>
          <w:p>
            <w:pPr>
              <w:pStyle w:val="16"/>
              <w:jc w:val="center"/>
              <w:rPr>
                <w:rFonts w:hint="default" w:ascii="Gotham Pro" w:hAnsi="Gotham Pro" w:cs="Gotham Pro"/>
                <w:b/>
                <w:color w:val="auto"/>
                <w:sz w:val="20"/>
                <w:szCs w:val="20"/>
              </w:rPr>
            </w:pPr>
            <w:r>
              <w:rPr>
                <w:rFonts w:hint="default" w:ascii="Gotham Pro" w:hAnsi="Gotham Pro" w:cs="Gotham Pro"/>
                <w:b/>
                <w:color w:val="auto"/>
                <w:sz w:val="20"/>
                <w:szCs w:val="20"/>
              </w:rPr>
              <w:t>Земли лесного фонда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 w:hRule="atLeast"/>
        </w:trPr>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5.</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b/>
                <w:sz w:val="20"/>
                <w:szCs w:val="20"/>
              </w:rPr>
              <w:t>Зоны рекреационного назначения:</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34119,4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88"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z w:val="20"/>
                <w:szCs w:val="20"/>
              </w:rPr>
              <w:t>5.1.</w:t>
            </w:r>
          </w:p>
        </w:tc>
        <w:tc>
          <w:tcPr>
            <w:tcW w:w="6345" w:type="dxa"/>
            <w:tcBorders>
              <w:top w:val="single" w:color="auto" w:sz="4" w:space="0"/>
              <w:left w:val="single" w:color="auto" w:sz="4" w:space="0"/>
              <w:bottom w:val="single" w:color="auto" w:sz="4" w:space="0"/>
              <w:right w:val="single" w:color="auto" w:sz="4" w:space="0"/>
            </w:tcBorders>
            <w:noWrap w:val="0"/>
            <w:vAlign w:val="top"/>
          </w:tcPr>
          <w:p>
            <w:pPr>
              <w:pStyle w:val="11"/>
              <w:rPr>
                <w:rFonts w:hint="default" w:ascii="Gotham Pro" w:hAnsi="Gotham Pro" w:cs="Gotham Pro"/>
                <w:sz w:val="20"/>
                <w:szCs w:val="20"/>
              </w:rPr>
            </w:pPr>
            <w:r>
              <w:rPr>
                <w:rFonts w:hint="default" w:ascii="Gotham Pro" w:hAnsi="Gotham Pro" w:cs="Gotham Pro"/>
                <w:spacing w:val="-1"/>
                <w:sz w:val="20"/>
                <w:szCs w:val="20"/>
              </w:rPr>
              <w:t>Зона лесов</w:t>
            </w:r>
          </w:p>
        </w:tc>
        <w:tc>
          <w:tcPr>
            <w:tcW w:w="2820" w:type="dxa"/>
            <w:tcBorders>
              <w:top w:val="single" w:color="auto" w:sz="4" w:space="0"/>
              <w:left w:val="single" w:color="auto" w:sz="4" w:space="0"/>
              <w:bottom w:val="single" w:color="auto" w:sz="4" w:space="0"/>
              <w:right w:val="single" w:color="auto" w:sz="4" w:space="0"/>
            </w:tcBorders>
            <w:noWrap w:val="0"/>
            <w:vAlign w:val="top"/>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34119,4</w:t>
            </w:r>
          </w:p>
        </w:tc>
      </w:tr>
    </w:tbl>
    <w:p>
      <w:pPr>
        <w:pStyle w:val="11"/>
        <w:spacing w:line="276" w:lineRule="auto"/>
        <w:ind w:firstLine="567"/>
        <w:jc w:val="right"/>
        <w:rPr>
          <w:rFonts w:hint="default" w:ascii="Gotham Pro" w:hAnsi="Gotham Pro" w:cs="Gotham Pro"/>
          <w:sz w:val="22"/>
          <w:szCs w:val="22"/>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2.2.1. Перечень земельных участков, которые включаются в границы населенных пунктов, входящих в состав поселения, или исключаются из их границ, с указанием категорий земель, к которым планируется отнести эти земельные участки, и целей их планируемого использования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Сведения о границах населенных пунктов внесены в ЕГРН под реестровыми номерами: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1) 03:05-4.1 - с. Сосново-Озерское, площадь населенного пункта составляет25 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2) 03:05-4.120 –с. Домна с площадьюнаселенного пункта 1,3км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3)03:05-4.119 – с. Укыр с площадью населенного пункта 1 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4) 03:05-4.123 – пос. Гарам, площадь населенного пункта составляет 0,5 км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Генеральным планом не предусматривается изменение границ населенных пунктов.</w:t>
      </w:r>
    </w:p>
    <w:p>
      <w:pPr>
        <w:ind w:left="-13" w:leftChars="0" w:firstLine="13" w:firstLineChars="0"/>
        <w:jc w:val="both"/>
        <w:rPr>
          <w:rFonts w:ascii="Gotham Pro" w:hAnsi="Gotham Pro" w:cs="Gotham Pro"/>
          <w:lang w:eastAsia="ru-RU"/>
        </w:rPr>
      </w:pPr>
    </w:p>
    <w:p>
      <w:pPr>
        <w:pStyle w:val="11"/>
        <w:spacing w:line="276" w:lineRule="auto"/>
        <w:ind w:firstLine="567"/>
        <w:jc w:val="center"/>
        <w:rPr>
          <w:rFonts w:hint="default" w:ascii="Gotham Pro" w:hAnsi="Gotham Pro" w:cs="Gotham Pro"/>
          <w:b/>
          <w:bCs/>
          <w:sz w:val="24"/>
          <w:szCs w:val="24"/>
        </w:rPr>
        <w:sectPr>
          <w:footerReference r:id="rId7" w:type="default"/>
          <w:pgSz w:w="11906" w:h="16838"/>
          <w:pgMar w:top="1134" w:right="567" w:bottom="1134" w:left="1701" w:header="708" w:footer="709" w:gutter="0"/>
          <w:pgNumType w:fmt="decimal"/>
          <w:cols w:space="0" w:num="1"/>
          <w:rtlGutter w:val="0"/>
          <w:docGrid w:linePitch="360" w:charSpace="0"/>
        </w:sectPr>
      </w:pPr>
    </w:p>
    <w:p>
      <w:pPr>
        <w:pStyle w:val="11"/>
        <w:spacing w:line="276" w:lineRule="auto"/>
        <w:ind w:firstLine="567"/>
        <w:jc w:val="center"/>
        <w:rPr>
          <w:rFonts w:hint="default" w:ascii="Gotham Pro" w:hAnsi="Gotham Pro" w:cs="Gotham Pro"/>
          <w:b/>
          <w:bCs/>
          <w:sz w:val="24"/>
          <w:szCs w:val="24"/>
        </w:rPr>
      </w:pPr>
    </w:p>
    <w:p>
      <w:pPr>
        <w:pStyle w:val="11"/>
        <w:spacing w:line="276" w:lineRule="auto"/>
        <w:ind w:firstLine="567"/>
        <w:jc w:val="center"/>
        <w:rPr>
          <w:rFonts w:hint="default" w:ascii="Gotham Pro" w:hAnsi="Gotham Pro" w:cs="Gotham Pro"/>
          <w:b/>
          <w:bCs/>
          <w:sz w:val="24"/>
          <w:szCs w:val="24"/>
        </w:rPr>
      </w:pPr>
    </w:p>
    <w:p>
      <w:pPr>
        <w:pStyle w:val="11"/>
        <w:spacing w:line="276" w:lineRule="auto"/>
        <w:ind w:firstLine="567"/>
        <w:jc w:val="both"/>
        <w:rPr>
          <w:rFonts w:hint="default" w:ascii="Gotham Pro" w:hAnsi="Gotham Pro" w:cs="Gotham Pro"/>
          <w:b/>
          <w:bCs/>
          <w:sz w:val="24"/>
          <w:szCs w:val="24"/>
        </w:rPr>
      </w:pPr>
      <w:r>
        <w:rPr>
          <w:rFonts w:hint="default" w:ascii="Gotham Pro" w:hAnsi="Gotham Pro" w:cs="Gotham Pro"/>
          <w:b/>
          <w:bCs/>
          <w:sz w:val="24"/>
          <w:szCs w:val="24"/>
        </w:rPr>
        <w:t>2.2.2. Перечень земель и земельных участков, подлежащих переводу из одной категории в другую</w:t>
      </w:r>
    </w:p>
    <w:p>
      <w:pPr>
        <w:pStyle w:val="11"/>
        <w:spacing w:line="276" w:lineRule="auto"/>
        <w:ind w:firstLine="567"/>
        <w:jc w:val="center"/>
        <w:rPr>
          <w:rFonts w:ascii="Times New Roman" w:hAnsi="Times New Roman" w:cs="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Перечень земель и земельных участков,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расположенных в границах МО СП «Сосново-Озерское», подлежащих переводу из одной категории в другую</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2.2.2.-1</w:t>
      </w:r>
    </w:p>
    <w:tbl>
      <w:tblPr>
        <w:tblStyle w:val="3"/>
        <w:tblW w:w="502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535"/>
        <w:gridCol w:w="2153"/>
        <w:gridCol w:w="2177"/>
        <w:gridCol w:w="1284"/>
        <w:gridCol w:w="1738"/>
        <w:gridCol w:w="1859"/>
        <w:gridCol w:w="1811"/>
        <w:gridCol w:w="1798"/>
        <w:gridCol w:w="14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80"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п/п</w:t>
            </w:r>
          </w:p>
        </w:tc>
        <w:tc>
          <w:tcPr>
            <w:tcW w:w="728"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Сведения о землях и земельных участках</w:t>
            </w:r>
          </w:p>
          <w:p>
            <w:pPr>
              <w:pStyle w:val="14"/>
              <w:jc w:val="both"/>
              <w:rPr>
                <w:sz w:val="22"/>
                <w:szCs w:val="22"/>
              </w:rPr>
            </w:pPr>
          </w:p>
        </w:tc>
        <w:tc>
          <w:tcPr>
            <w:tcW w:w="737"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Местоположение</w:t>
            </w:r>
          </w:p>
          <w:p>
            <w:pPr>
              <w:pStyle w:val="14"/>
              <w:rPr>
                <w:sz w:val="22"/>
                <w:szCs w:val="22"/>
              </w:rPr>
            </w:pPr>
          </w:p>
        </w:tc>
        <w:tc>
          <w:tcPr>
            <w:tcW w:w="434"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Площадь, га</w:t>
            </w:r>
          </w:p>
          <w:p>
            <w:pPr>
              <w:pStyle w:val="14"/>
              <w:rPr>
                <w:sz w:val="22"/>
                <w:szCs w:val="22"/>
              </w:rPr>
            </w:pPr>
          </w:p>
        </w:tc>
        <w:tc>
          <w:tcPr>
            <w:tcW w:w="1217" w:type="pct"/>
            <w:gridSpan w:val="2"/>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Существующее целевое назначение</w:t>
            </w:r>
          </w:p>
        </w:tc>
        <w:tc>
          <w:tcPr>
            <w:tcW w:w="1221" w:type="pct"/>
            <w:gridSpan w:val="2"/>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Планируемое целевое назначение</w:t>
            </w:r>
          </w:p>
        </w:tc>
        <w:tc>
          <w:tcPr>
            <w:tcW w:w="478"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Планируе</w:t>
            </w:r>
            <w:r>
              <w:rPr>
                <w:rFonts w:hint="default" w:ascii="Gotham Pro" w:hAnsi="Gotham Pro" w:cs="Gotham Pro"/>
                <w:sz w:val="20"/>
                <w:szCs w:val="20"/>
                <w:lang w:val="ru-RU"/>
              </w:rPr>
              <w:t>-</w:t>
            </w:r>
            <w:r>
              <w:rPr>
                <w:rFonts w:hint="default" w:ascii="Gotham Pro" w:hAnsi="Gotham Pro" w:cs="Gotham Pro"/>
                <w:sz w:val="20"/>
                <w:szCs w:val="20"/>
              </w:rPr>
              <w:t>мая функцио</w:t>
            </w:r>
            <w:r>
              <w:rPr>
                <w:rFonts w:hint="default" w:ascii="Gotham Pro" w:hAnsi="Gotham Pro" w:cs="Gotham Pro"/>
                <w:sz w:val="20"/>
                <w:szCs w:val="20"/>
                <w:lang w:val="ru-RU"/>
              </w:rPr>
              <w:t>-на</w:t>
            </w:r>
            <w:r>
              <w:rPr>
                <w:rFonts w:hint="default" w:ascii="Gotham Pro" w:hAnsi="Gotham Pro" w:cs="Gotham Pro"/>
                <w:sz w:val="20"/>
                <w:szCs w:val="20"/>
              </w:rPr>
              <w:t>льная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80" w:type="pct"/>
            <w:vMerge w:val="continue"/>
            <w:shd w:val="clear" w:color="auto" w:fill="auto"/>
          </w:tcPr>
          <w:p>
            <w:pPr>
              <w:pStyle w:val="14"/>
              <w:rPr>
                <w:sz w:val="22"/>
                <w:szCs w:val="22"/>
              </w:rPr>
            </w:pPr>
          </w:p>
        </w:tc>
        <w:tc>
          <w:tcPr>
            <w:tcW w:w="728" w:type="pct"/>
            <w:vMerge w:val="continue"/>
            <w:shd w:val="clear" w:color="auto" w:fill="auto"/>
          </w:tcPr>
          <w:p>
            <w:pPr>
              <w:pStyle w:val="14"/>
              <w:jc w:val="both"/>
              <w:rPr>
                <w:sz w:val="22"/>
                <w:szCs w:val="22"/>
              </w:rPr>
            </w:pPr>
          </w:p>
        </w:tc>
        <w:tc>
          <w:tcPr>
            <w:tcW w:w="737" w:type="pct"/>
            <w:vMerge w:val="continue"/>
            <w:shd w:val="clear" w:color="auto" w:fill="auto"/>
          </w:tcPr>
          <w:p>
            <w:pPr>
              <w:pStyle w:val="14"/>
              <w:rPr>
                <w:sz w:val="22"/>
                <w:szCs w:val="22"/>
              </w:rPr>
            </w:pPr>
          </w:p>
        </w:tc>
        <w:tc>
          <w:tcPr>
            <w:tcW w:w="434" w:type="pct"/>
            <w:vMerge w:val="continue"/>
            <w:shd w:val="clear" w:color="auto" w:fill="auto"/>
          </w:tcPr>
          <w:p>
            <w:pPr>
              <w:pStyle w:val="14"/>
              <w:rPr>
                <w:sz w:val="22"/>
                <w:szCs w:val="22"/>
              </w:rPr>
            </w:pPr>
          </w:p>
        </w:tc>
        <w:tc>
          <w:tcPr>
            <w:tcW w:w="58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Категория</w:t>
            </w: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Вид разрешенного использования</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Категория</w:t>
            </w:r>
          </w:p>
        </w:tc>
        <w:tc>
          <w:tcPr>
            <w:tcW w:w="60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Вид разрешенного использования</w:t>
            </w:r>
          </w:p>
        </w:tc>
        <w:tc>
          <w:tcPr>
            <w:tcW w:w="478" w:type="pct"/>
            <w:vMerge w:val="continue"/>
            <w:shd w:val="clear" w:color="auto" w:fill="auto"/>
          </w:tcPr>
          <w:p>
            <w:pPr>
              <w:pStyle w:val="14"/>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80"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72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73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434"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58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62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c>
          <w:tcPr>
            <w:tcW w:w="61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7</w:t>
            </w:r>
          </w:p>
        </w:tc>
        <w:tc>
          <w:tcPr>
            <w:tcW w:w="60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8</w:t>
            </w:r>
          </w:p>
        </w:tc>
        <w:tc>
          <w:tcPr>
            <w:tcW w:w="47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728" w:type="pct"/>
            <w:shd w:val="clear" w:color="auto" w:fill="auto"/>
            <w:vAlign w:val="top"/>
          </w:tcPr>
          <w:p>
            <w:pPr>
              <w:pStyle w:val="11"/>
              <w:spacing w:line="276" w:lineRule="auto"/>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rPr>
              <w:t>03:05:290103:852</w:t>
            </w:r>
          </w:p>
        </w:tc>
        <w:tc>
          <w:tcPr>
            <w:tcW w:w="737"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с.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Местность</w:t>
            </w:r>
            <w:r>
              <w:rPr>
                <w:rFonts w:hint="default" w:ascii="Gotham Pro" w:hAnsi="Gotham Pro" w:cs="Gotham Pro"/>
                <w:sz w:val="20"/>
                <w:szCs w:val="20"/>
                <w:lang w:val="ru-RU"/>
              </w:rPr>
              <w:t xml:space="preserve"> </w:t>
            </w:r>
            <w:r>
              <w:rPr>
                <w:rFonts w:hint="default" w:ascii="Gotham Pro" w:hAnsi="Gotham Pro" w:cs="Gotham Pro"/>
                <w:sz w:val="20"/>
                <w:szCs w:val="20"/>
              </w:rPr>
              <w:t>«Дархита»</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rPr>
              <w:t>2,2977</w:t>
            </w:r>
          </w:p>
        </w:tc>
        <w:tc>
          <w:tcPr>
            <w:tcW w:w="58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Земли сельскохо</w:t>
            </w:r>
            <w:r>
              <w:rPr>
                <w:rFonts w:hint="default" w:ascii="Gotham Pro" w:hAnsi="Gotham Pro" w:cs="Gotham Pro"/>
                <w:sz w:val="20"/>
                <w:szCs w:val="20"/>
                <w:lang w:val="ru-RU"/>
              </w:rPr>
              <w:t>-</w:t>
            </w:r>
            <w:r>
              <w:rPr>
                <w:rFonts w:hint="default" w:ascii="Gotham Pro" w:hAnsi="Gotham Pro" w:cs="Gotham Pro"/>
                <w:sz w:val="20"/>
                <w:szCs w:val="20"/>
              </w:rPr>
              <w:t>зяйственного назначения</w:t>
            </w:r>
          </w:p>
          <w:p>
            <w:pPr>
              <w:pStyle w:val="11"/>
              <w:spacing w:line="276" w:lineRule="auto"/>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сельскохозяйст</w:t>
            </w:r>
            <w:r>
              <w:rPr>
                <w:rFonts w:hint="default" w:ascii="Gotham Pro" w:hAnsi="Gotham Pro" w:cs="Gotham Pro"/>
                <w:sz w:val="20"/>
                <w:szCs w:val="20"/>
                <w:lang w:val="ru-RU"/>
              </w:rPr>
              <w:t>-</w:t>
            </w:r>
            <w:r>
              <w:rPr>
                <w:rFonts w:hint="default" w:ascii="Gotham Pro" w:hAnsi="Gotham Pro" w:cs="Gotham Pro"/>
                <w:sz w:val="20"/>
                <w:szCs w:val="20"/>
              </w:rPr>
              <w:t>венного использования</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Земли промышленности… и иного специального назначения</w:t>
            </w:r>
          </w:p>
        </w:tc>
        <w:tc>
          <w:tcPr>
            <w:tcW w:w="60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Ритуальная деятельность</w:t>
            </w: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кладбищ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c>
          <w:tcPr>
            <w:tcW w:w="72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03:05:290106:444</w:t>
            </w:r>
          </w:p>
        </w:tc>
        <w:tc>
          <w:tcPr>
            <w:tcW w:w="737"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с. Домна</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местность «Соболка»</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0,306</w:t>
            </w:r>
          </w:p>
        </w:tc>
        <w:tc>
          <w:tcPr>
            <w:tcW w:w="58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Земли сельскохо</w:t>
            </w:r>
            <w:r>
              <w:rPr>
                <w:rFonts w:hint="default" w:ascii="Gotham Pro" w:hAnsi="Gotham Pro" w:cs="Gotham Pro"/>
                <w:sz w:val="20"/>
                <w:szCs w:val="20"/>
                <w:lang w:val="ru-RU"/>
              </w:rPr>
              <w:t>-</w:t>
            </w:r>
            <w:r>
              <w:rPr>
                <w:rFonts w:hint="default" w:ascii="Gotham Pro" w:hAnsi="Gotham Pro" w:cs="Gotham Pro"/>
                <w:sz w:val="20"/>
                <w:szCs w:val="20"/>
              </w:rPr>
              <w:t xml:space="preserve">зяйственного назначения </w:t>
            </w:r>
          </w:p>
          <w:p>
            <w:pPr>
              <w:pStyle w:val="11"/>
              <w:spacing w:line="276" w:lineRule="auto"/>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сельскохозяйст</w:t>
            </w:r>
            <w:r>
              <w:rPr>
                <w:rFonts w:hint="default" w:ascii="Gotham Pro" w:hAnsi="Gotham Pro" w:cs="Gotham Pro"/>
                <w:sz w:val="20"/>
                <w:szCs w:val="20"/>
                <w:lang w:val="ru-RU"/>
              </w:rPr>
              <w:t>-</w:t>
            </w:r>
            <w:r>
              <w:rPr>
                <w:rFonts w:hint="default" w:ascii="Gotham Pro" w:hAnsi="Gotham Pro" w:cs="Gotham Pro"/>
                <w:sz w:val="20"/>
                <w:szCs w:val="20"/>
              </w:rPr>
              <w:t>венного использования</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промышленности… и иного </w:t>
            </w:r>
            <w:r>
              <w:rPr>
                <w:rFonts w:hint="default" w:ascii="Gotham Pro" w:hAnsi="Gotham Pro" w:cs="Gotham Pro"/>
                <w:sz w:val="20"/>
                <w:szCs w:val="20"/>
                <w:lang w:val="ru-RU"/>
              </w:rPr>
              <w:t>специального</w:t>
            </w:r>
            <w:r>
              <w:rPr>
                <w:rFonts w:hint="default" w:ascii="Gotham Pro" w:hAnsi="Gotham Pro" w:cs="Gotham Pro"/>
                <w:sz w:val="20"/>
                <w:szCs w:val="20"/>
              </w:rPr>
              <w:t xml:space="preserve"> назначения</w:t>
            </w:r>
          </w:p>
        </w:tc>
        <w:tc>
          <w:tcPr>
            <w:tcW w:w="60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Ритуальная деятельность</w:t>
            </w: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кладбищ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vAlign w:val="top"/>
          </w:tcPr>
          <w:p>
            <w:pPr>
              <w:pStyle w:val="11"/>
              <w:spacing w:line="276" w:lineRule="auto"/>
              <w:jc w:val="center"/>
              <w:rPr>
                <w:rFonts w:hint="default" w:ascii="Gotham Pro" w:hAnsi="Gotham Pro" w:cs="Gotham Pro" w:eastAsiaTheme="minorEastAsia"/>
                <w:sz w:val="20"/>
                <w:szCs w:val="20"/>
                <w:lang w:val="en-US" w:eastAsia="ru-RU" w:bidi="ar-SA"/>
              </w:rPr>
            </w:pPr>
            <w:r>
              <w:rPr>
                <w:rFonts w:hint="default" w:ascii="Gotham Pro" w:hAnsi="Gotham Pro" w:cs="Gotham Pro"/>
                <w:sz w:val="20"/>
                <w:szCs w:val="20"/>
                <w:lang w:val="en-US" w:eastAsia="ru-RU" w:bidi="ar-SA"/>
              </w:rPr>
              <w:t>3</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eastAsia="Times New Roman" w:cs="Gotham Pro"/>
                <w:sz w:val="20"/>
                <w:szCs w:val="20"/>
              </w:rPr>
              <w:t>03:05:290103:705</w:t>
            </w:r>
            <w:r>
              <w:rPr>
                <w:rFonts w:hint="default" w:ascii="Gotham Pro" w:hAnsi="Gotham Pro" w:cs="Gotham Pro"/>
                <w:sz w:val="20"/>
                <w:szCs w:val="20"/>
              </w:rPr>
              <w:t xml:space="preserve"> </w:t>
            </w:r>
          </w:p>
        </w:tc>
        <w:tc>
          <w:tcPr>
            <w:tcW w:w="73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«Сосново-Озерское»,  местность «Щучье»</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rPr>
              <w:t>0,4552</w:t>
            </w:r>
          </w:p>
        </w:tc>
        <w:tc>
          <w:tcPr>
            <w:tcW w:w="588"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Земли сельскохо</w:t>
            </w:r>
            <w:r>
              <w:rPr>
                <w:rFonts w:hint="default" w:ascii="Gotham Pro" w:hAnsi="Gotham Pro" w:cs="Gotham Pro"/>
                <w:sz w:val="20"/>
                <w:szCs w:val="20"/>
                <w:lang w:val="ru-RU"/>
              </w:rPr>
              <w:t>-</w:t>
            </w:r>
            <w:r>
              <w:rPr>
                <w:rFonts w:hint="default" w:ascii="Gotham Pro" w:hAnsi="Gotham Pro" w:cs="Gotham Pro"/>
                <w:sz w:val="20"/>
                <w:szCs w:val="20"/>
              </w:rPr>
              <w:t xml:space="preserve">зяйственного назначения </w:t>
            </w:r>
          </w:p>
          <w:p>
            <w:pPr>
              <w:pStyle w:val="11"/>
              <w:spacing w:line="276" w:lineRule="auto"/>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для сельскохозяйст</w:t>
            </w:r>
            <w:r>
              <w:rPr>
                <w:rFonts w:hint="default" w:ascii="Gotham Pro" w:hAnsi="Gotham Pro" w:cs="Gotham Pro"/>
                <w:sz w:val="20"/>
                <w:szCs w:val="20"/>
                <w:lang w:val="ru-RU"/>
              </w:rPr>
              <w:t>-</w:t>
            </w:r>
            <w:r>
              <w:rPr>
                <w:rFonts w:hint="default" w:ascii="Gotham Pro" w:hAnsi="Gotham Pro" w:cs="Gotham Pro"/>
                <w:sz w:val="20"/>
                <w:szCs w:val="20"/>
              </w:rPr>
              <w:t>венного использования</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промышленности… и иного </w:t>
            </w:r>
            <w:r>
              <w:rPr>
                <w:rFonts w:hint="default" w:ascii="Gotham Pro" w:hAnsi="Gotham Pro" w:cs="Gotham Pro"/>
                <w:sz w:val="20"/>
                <w:szCs w:val="20"/>
                <w:lang w:val="ru-RU"/>
              </w:rPr>
              <w:t>специального</w:t>
            </w:r>
            <w:r>
              <w:rPr>
                <w:rFonts w:hint="default" w:ascii="Gotham Pro" w:hAnsi="Gotham Pro" w:cs="Gotham Pro"/>
                <w:sz w:val="20"/>
                <w:szCs w:val="20"/>
              </w:rPr>
              <w:t xml:space="preserve"> назначения</w:t>
            </w:r>
          </w:p>
        </w:tc>
        <w:tc>
          <w:tcPr>
            <w:tcW w:w="608"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lang w:val="ru-RU"/>
              </w:rPr>
              <w:t>Строительная промышлен-ность</w:t>
            </w: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Производственная</w:t>
            </w:r>
            <w:r>
              <w:rPr>
                <w:rFonts w:hint="default" w:ascii="Gotham Pro" w:hAnsi="Gotham Pro" w:cs="Gotham Pro"/>
                <w:sz w:val="20"/>
                <w:szCs w:val="20"/>
              </w:rPr>
              <w:t xml:space="preserve">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shd w:val="clear" w:color="auto" w:fill="F8F9FA"/>
              </w:rPr>
              <w:t>03:05:250137:811</w:t>
            </w:r>
          </w:p>
        </w:tc>
        <w:tc>
          <w:tcPr>
            <w:tcW w:w="737" w:type="pct"/>
            <w:vMerge w:val="restart"/>
            <w:shd w:val="clear" w:color="auto" w:fill="auto"/>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МО СП «Соснов</w:t>
            </w:r>
            <w:r>
              <w:rPr>
                <w:rFonts w:hint="default" w:ascii="Gotham Pro" w:hAnsi="Gotham Pro" w:cs="Gotham Pro"/>
                <w:sz w:val="20"/>
                <w:szCs w:val="20"/>
                <w:lang w:val="ru-RU"/>
              </w:rPr>
              <w:t>о-</w:t>
            </w:r>
            <w:r>
              <w:rPr>
                <w:rFonts w:hint="default" w:ascii="Gotham Pro" w:hAnsi="Gotham Pro" w:cs="Gotham Pro"/>
                <w:sz w:val="20"/>
                <w:szCs w:val="20"/>
              </w:rPr>
              <w:t>Озерское»,</w:t>
            </w:r>
          </w:p>
          <w:p>
            <w:pPr>
              <w:pStyle w:val="14"/>
              <w:ind w:left="0" w:leftChars="0" w:firstLine="0" w:firstLineChars="0"/>
              <w:jc w:val="center"/>
              <w:rPr>
                <w:sz w:val="22"/>
                <w:szCs w:val="22"/>
              </w:rPr>
            </w:pPr>
            <w:r>
              <w:rPr>
                <w:rFonts w:hint="default" w:ascii="Gotham Pro" w:hAnsi="Gotham Pro" w:cs="Gotham Pro"/>
                <w:sz w:val="20"/>
                <w:szCs w:val="20"/>
              </w:rPr>
              <w:t>ур. Хаймисан</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15,9786</w:t>
            </w:r>
          </w:p>
        </w:tc>
        <w:tc>
          <w:tcPr>
            <w:tcW w:w="588" w:type="pct"/>
            <w:vMerge w:val="restar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Земли сельскохо</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зяйственного назначения</w:t>
            </w:r>
          </w:p>
          <w:p>
            <w:pPr>
              <w:pStyle w:val="11"/>
              <w:jc w:val="center"/>
              <w:rPr>
                <w:rFonts w:hint="default" w:ascii="Gotham Pro" w:hAnsi="Gotham Pro" w:cs="Gotham Pro" w:eastAsiaTheme="minorEastAsia"/>
                <w:sz w:val="20"/>
                <w:szCs w:val="20"/>
                <w:lang w:val="ru-RU" w:eastAsia="ru-RU" w:bidi="ar-SA"/>
              </w:rPr>
            </w:pPr>
          </w:p>
        </w:tc>
        <w:tc>
          <w:tcPr>
            <w:tcW w:w="629" w:type="pct"/>
            <w:vMerge w:val="restar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Для сельскохозяйст</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венного производства</w:t>
            </w:r>
          </w:p>
          <w:p>
            <w:pPr>
              <w:pStyle w:val="11"/>
              <w:jc w:val="center"/>
              <w:rPr>
                <w:rFonts w:hint="default" w:ascii="Gotham Pro" w:hAnsi="Gotham Pro" w:cs="Gotham Pro" w:eastAsiaTheme="minorEastAsia"/>
                <w:sz w:val="20"/>
                <w:szCs w:val="20"/>
                <w:lang w:val="ru-RU" w:eastAsia="ru-RU" w:bidi="ar-SA"/>
              </w:rPr>
            </w:pPr>
          </w:p>
        </w:tc>
        <w:tc>
          <w:tcPr>
            <w:tcW w:w="613"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Земли промышленности… и иного специально</w:t>
            </w:r>
            <w:r>
              <w:rPr>
                <w:rFonts w:hint="default" w:ascii="Gotham Pro" w:hAnsi="Gotham Pro" w:cs="Gotham Pro"/>
                <w:sz w:val="20"/>
                <w:szCs w:val="20"/>
                <w:lang w:val="ru-RU"/>
              </w:rPr>
              <w:t>-</w:t>
            </w:r>
            <w:r>
              <w:rPr>
                <w:rFonts w:hint="default" w:ascii="Gotham Pro" w:hAnsi="Gotham Pro" w:cs="Gotham Pro"/>
                <w:sz w:val="20"/>
                <w:szCs w:val="20"/>
              </w:rPr>
              <w:t>го назначения</w:t>
            </w:r>
          </w:p>
        </w:tc>
        <w:tc>
          <w:tcPr>
            <w:tcW w:w="608"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lang w:val="ru-RU"/>
              </w:rPr>
              <w:t>Строительная промышлен-ность</w:t>
            </w:r>
          </w:p>
        </w:tc>
        <w:tc>
          <w:tcPr>
            <w:tcW w:w="478"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Производственная</w:t>
            </w:r>
            <w:r>
              <w:rPr>
                <w:rFonts w:hint="default" w:ascii="Gotham Pro" w:hAnsi="Gotham Pro" w:cs="Gotham Pro"/>
                <w:sz w:val="20"/>
                <w:szCs w:val="20"/>
              </w:rPr>
              <w:t xml:space="preserve">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shd w:val="clear" w:color="auto" w:fill="F8F9FA"/>
              </w:rPr>
              <w:t>03:05:250137:821</w:t>
            </w:r>
          </w:p>
        </w:tc>
        <w:tc>
          <w:tcPr>
            <w:tcW w:w="737" w:type="pct"/>
            <w:vMerge w:val="continue"/>
            <w:shd w:val="clear" w:color="auto" w:fill="auto"/>
          </w:tcPr>
          <w:p>
            <w:pPr>
              <w:pStyle w:val="14"/>
              <w:rPr>
                <w:sz w:val="22"/>
                <w:szCs w:val="22"/>
              </w:rPr>
            </w:pP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0,4901</w:t>
            </w:r>
          </w:p>
        </w:tc>
        <w:tc>
          <w:tcPr>
            <w:tcW w:w="588" w:type="pct"/>
            <w:vMerge w:val="continue"/>
            <w:shd w:val="clear" w:color="auto" w:fill="auto"/>
          </w:tcPr>
          <w:p>
            <w:pPr>
              <w:pStyle w:val="14"/>
              <w:rPr>
                <w:sz w:val="22"/>
                <w:szCs w:val="22"/>
              </w:rPr>
            </w:pPr>
          </w:p>
        </w:tc>
        <w:tc>
          <w:tcPr>
            <w:tcW w:w="629" w:type="pct"/>
            <w:vMerge w:val="continue"/>
            <w:shd w:val="clear" w:color="auto" w:fill="auto"/>
          </w:tcPr>
          <w:p>
            <w:pPr>
              <w:pStyle w:val="14"/>
              <w:rPr>
                <w:sz w:val="22"/>
                <w:szCs w:val="22"/>
              </w:rPr>
            </w:pPr>
          </w:p>
        </w:tc>
        <w:tc>
          <w:tcPr>
            <w:tcW w:w="613" w:type="pct"/>
            <w:vMerge w:val="continue"/>
            <w:shd w:val="clear" w:color="auto" w:fill="auto"/>
          </w:tcPr>
          <w:p>
            <w:pPr>
              <w:pStyle w:val="14"/>
              <w:rPr>
                <w:sz w:val="22"/>
                <w:szCs w:val="22"/>
              </w:rPr>
            </w:pPr>
          </w:p>
        </w:tc>
        <w:tc>
          <w:tcPr>
            <w:tcW w:w="608" w:type="pct"/>
            <w:vMerge w:val="continue"/>
            <w:shd w:val="clear" w:color="auto" w:fill="auto"/>
          </w:tcPr>
          <w:p>
            <w:pPr>
              <w:pStyle w:val="14"/>
              <w:rPr>
                <w:sz w:val="22"/>
                <w:szCs w:val="22"/>
              </w:rPr>
            </w:pPr>
          </w:p>
        </w:tc>
        <w:tc>
          <w:tcPr>
            <w:tcW w:w="478" w:type="pct"/>
            <w:vMerge w:val="continue"/>
            <w:shd w:val="clear" w:color="auto" w:fill="auto"/>
          </w:tcPr>
          <w:p>
            <w:pPr>
              <w:pStyle w:val="14"/>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6</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shd w:val="clear" w:color="auto" w:fill="F8F9FA"/>
              </w:rPr>
              <w:t>03:05:250137:822</w:t>
            </w:r>
          </w:p>
        </w:tc>
        <w:tc>
          <w:tcPr>
            <w:tcW w:w="737" w:type="pct"/>
            <w:vMerge w:val="continue"/>
            <w:shd w:val="clear" w:color="auto" w:fill="auto"/>
          </w:tcPr>
          <w:p>
            <w:pPr>
              <w:pStyle w:val="14"/>
              <w:rPr>
                <w:sz w:val="22"/>
                <w:szCs w:val="22"/>
              </w:rPr>
            </w:pP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1,2749</w:t>
            </w:r>
          </w:p>
        </w:tc>
        <w:tc>
          <w:tcPr>
            <w:tcW w:w="588" w:type="pct"/>
            <w:vMerge w:val="continue"/>
            <w:shd w:val="clear" w:color="auto" w:fill="auto"/>
          </w:tcPr>
          <w:p>
            <w:pPr>
              <w:pStyle w:val="14"/>
              <w:rPr>
                <w:sz w:val="22"/>
                <w:szCs w:val="22"/>
              </w:rPr>
            </w:pPr>
          </w:p>
        </w:tc>
        <w:tc>
          <w:tcPr>
            <w:tcW w:w="629" w:type="pct"/>
            <w:vMerge w:val="continue"/>
            <w:shd w:val="clear" w:color="auto" w:fill="auto"/>
          </w:tcPr>
          <w:p>
            <w:pPr>
              <w:pStyle w:val="14"/>
              <w:rPr>
                <w:sz w:val="22"/>
                <w:szCs w:val="22"/>
              </w:rPr>
            </w:pPr>
          </w:p>
        </w:tc>
        <w:tc>
          <w:tcPr>
            <w:tcW w:w="613" w:type="pct"/>
            <w:vMerge w:val="continue"/>
            <w:shd w:val="clear" w:color="auto" w:fill="auto"/>
          </w:tcPr>
          <w:p>
            <w:pPr>
              <w:pStyle w:val="14"/>
              <w:rPr>
                <w:sz w:val="22"/>
                <w:szCs w:val="22"/>
              </w:rPr>
            </w:pPr>
          </w:p>
        </w:tc>
        <w:tc>
          <w:tcPr>
            <w:tcW w:w="608" w:type="pct"/>
            <w:vMerge w:val="continue"/>
            <w:shd w:val="clear" w:color="auto" w:fill="auto"/>
          </w:tcPr>
          <w:p>
            <w:pPr>
              <w:pStyle w:val="14"/>
              <w:rPr>
                <w:sz w:val="22"/>
                <w:szCs w:val="22"/>
              </w:rPr>
            </w:pPr>
          </w:p>
        </w:tc>
        <w:tc>
          <w:tcPr>
            <w:tcW w:w="478" w:type="pct"/>
            <w:vMerge w:val="continue"/>
            <w:shd w:val="clear" w:color="auto" w:fill="auto"/>
          </w:tcPr>
          <w:p>
            <w:pPr>
              <w:pStyle w:val="14"/>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7</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shd w:val="clear" w:color="auto" w:fill="F8F9FA"/>
              </w:rPr>
              <w:t>03:05:250137:823</w:t>
            </w:r>
          </w:p>
        </w:tc>
        <w:tc>
          <w:tcPr>
            <w:tcW w:w="737" w:type="pct"/>
            <w:vMerge w:val="continue"/>
            <w:shd w:val="clear" w:color="auto" w:fill="auto"/>
          </w:tcPr>
          <w:p>
            <w:pPr>
              <w:pStyle w:val="14"/>
              <w:rPr>
                <w:sz w:val="22"/>
                <w:szCs w:val="22"/>
              </w:rPr>
            </w:pP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1,9984</w:t>
            </w:r>
          </w:p>
        </w:tc>
        <w:tc>
          <w:tcPr>
            <w:tcW w:w="588" w:type="pct"/>
            <w:vMerge w:val="continue"/>
            <w:shd w:val="clear" w:color="auto" w:fill="auto"/>
          </w:tcPr>
          <w:p>
            <w:pPr>
              <w:pStyle w:val="14"/>
              <w:rPr>
                <w:sz w:val="22"/>
                <w:szCs w:val="22"/>
              </w:rPr>
            </w:pPr>
          </w:p>
        </w:tc>
        <w:tc>
          <w:tcPr>
            <w:tcW w:w="629" w:type="pct"/>
            <w:vMerge w:val="continue"/>
            <w:shd w:val="clear" w:color="auto" w:fill="auto"/>
          </w:tcPr>
          <w:p>
            <w:pPr>
              <w:pStyle w:val="14"/>
              <w:rPr>
                <w:sz w:val="22"/>
                <w:szCs w:val="22"/>
              </w:rPr>
            </w:pPr>
          </w:p>
        </w:tc>
        <w:tc>
          <w:tcPr>
            <w:tcW w:w="613" w:type="pct"/>
            <w:vMerge w:val="continue"/>
            <w:shd w:val="clear" w:color="auto" w:fill="auto"/>
          </w:tcPr>
          <w:p>
            <w:pPr>
              <w:pStyle w:val="14"/>
              <w:rPr>
                <w:sz w:val="22"/>
                <w:szCs w:val="22"/>
              </w:rPr>
            </w:pPr>
          </w:p>
        </w:tc>
        <w:tc>
          <w:tcPr>
            <w:tcW w:w="608" w:type="pct"/>
            <w:vMerge w:val="continue"/>
            <w:shd w:val="clear" w:color="auto" w:fill="auto"/>
          </w:tcPr>
          <w:p>
            <w:pPr>
              <w:pStyle w:val="14"/>
              <w:rPr>
                <w:sz w:val="22"/>
                <w:szCs w:val="22"/>
              </w:rPr>
            </w:pPr>
          </w:p>
        </w:tc>
        <w:tc>
          <w:tcPr>
            <w:tcW w:w="478" w:type="pct"/>
            <w:vMerge w:val="continue"/>
            <w:shd w:val="clear" w:color="auto" w:fill="auto"/>
          </w:tcPr>
          <w:p>
            <w:pPr>
              <w:pStyle w:val="14"/>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8</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Часть кадастрового </w:t>
            </w:r>
            <w:r>
              <w:rPr>
                <w:rFonts w:hint="default" w:ascii="Gotham Pro" w:hAnsi="Gotham Pro" w:eastAsia="Times New Roman" w:cs="Gotham Pro"/>
                <w:sz w:val="20"/>
                <w:szCs w:val="20"/>
              </w:rPr>
              <w:t>квартала 03:05:290104</w:t>
            </w:r>
          </w:p>
        </w:tc>
        <w:tc>
          <w:tcPr>
            <w:tcW w:w="73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«Сосново-Озерское», местность «Кыргында»</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0,6</w:t>
            </w:r>
          </w:p>
        </w:tc>
        <w:tc>
          <w:tcPr>
            <w:tcW w:w="588" w:type="pc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Земли сельскохоз</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яйственного назначения</w:t>
            </w:r>
          </w:p>
          <w:p>
            <w:pPr>
              <w:pStyle w:val="11"/>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промышленности… и иного </w:t>
            </w:r>
            <w:r>
              <w:rPr>
                <w:rFonts w:hint="default" w:ascii="Gotham Pro" w:hAnsi="Gotham Pro" w:cs="Gotham Pro"/>
                <w:sz w:val="20"/>
                <w:szCs w:val="20"/>
                <w:lang w:val="ru-RU"/>
              </w:rPr>
              <w:t>специального</w:t>
            </w:r>
            <w:r>
              <w:rPr>
                <w:rFonts w:hint="default" w:ascii="Gotham Pro" w:hAnsi="Gotham Pro" w:cs="Gotham Pro"/>
                <w:sz w:val="20"/>
                <w:szCs w:val="20"/>
              </w:rPr>
              <w:t xml:space="preserve"> назначения</w:t>
            </w:r>
          </w:p>
        </w:tc>
        <w:tc>
          <w:tcPr>
            <w:tcW w:w="608"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lang w:val="ru-RU"/>
              </w:rPr>
              <w:t>Строительная промышлен-ность</w:t>
            </w: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Производственная</w:t>
            </w:r>
            <w:r>
              <w:rPr>
                <w:rFonts w:hint="default" w:ascii="Gotham Pro" w:hAnsi="Gotham Pro" w:cs="Gotham Pro"/>
                <w:sz w:val="20"/>
                <w:szCs w:val="20"/>
              </w:rPr>
              <w:t xml:space="preserve">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9</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yellow"/>
                <w:lang w:val="ru-RU" w:eastAsia="ru-RU" w:bidi="ar-SA"/>
              </w:rPr>
            </w:pPr>
            <w:r>
              <w:rPr>
                <w:rFonts w:hint="default" w:ascii="Gotham Pro" w:hAnsi="Gotham Pro" w:eastAsia="Times New Roman" w:cs="Gotham Pro"/>
                <w:sz w:val="20"/>
                <w:szCs w:val="20"/>
              </w:rPr>
              <w:t>03:05:250136:338</w:t>
            </w:r>
          </w:p>
        </w:tc>
        <w:tc>
          <w:tcPr>
            <w:tcW w:w="737"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Ур. Черемошье</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0,2845</w:t>
            </w:r>
          </w:p>
        </w:tc>
        <w:tc>
          <w:tcPr>
            <w:tcW w:w="588" w:type="pc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Земли сельскохо</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зяйственного назначения</w:t>
            </w:r>
          </w:p>
          <w:p>
            <w:pPr>
              <w:pStyle w:val="11"/>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Для сельскохозяйст</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венного производства</w:t>
            </w:r>
          </w:p>
          <w:p>
            <w:pPr>
              <w:pStyle w:val="11"/>
              <w:jc w:val="center"/>
              <w:rPr>
                <w:rFonts w:hint="default" w:ascii="Gotham Pro" w:hAnsi="Gotham Pro" w:cs="Gotham Pro" w:eastAsiaTheme="minorEastAsia"/>
                <w:sz w:val="20"/>
                <w:szCs w:val="20"/>
                <w:lang w:val="ru-RU" w:eastAsia="ru-RU" w:bidi="ar-SA"/>
              </w:rPr>
            </w:pPr>
          </w:p>
        </w:tc>
        <w:tc>
          <w:tcPr>
            <w:tcW w:w="61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промышленности… и иного </w:t>
            </w:r>
            <w:r>
              <w:rPr>
                <w:rFonts w:hint="default" w:ascii="Gotham Pro" w:hAnsi="Gotham Pro" w:cs="Gotham Pro"/>
                <w:sz w:val="20"/>
                <w:szCs w:val="20"/>
                <w:lang w:val="ru-RU"/>
              </w:rPr>
              <w:t>специального</w:t>
            </w:r>
            <w:r>
              <w:rPr>
                <w:rFonts w:hint="default" w:ascii="Gotham Pro" w:hAnsi="Gotham Pro" w:cs="Gotham Pro"/>
                <w:sz w:val="20"/>
                <w:szCs w:val="20"/>
              </w:rPr>
              <w:t xml:space="preserve"> назначения</w:t>
            </w:r>
          </w:p>
        </w:tc>
        <w:tc>
          <w:tcPr>
            <w:tcW w:w="608" w:type="pct"/>
            <w:shd w:val="clear" w:color="auto" w:fill="auto"/>
            <w:vAlign w:val="top"/>
          </w:tcPr>
          <w:p>
            <w:pPr>
              <w:pStyle w:val="11"/>
              <w:jc w:val="center"/>
              <w:rPr>
                <w:rFonts w:hint="default" w:ascii="Gotham Pro" w:hAnsi="Gotham Pro" w:cs="Gotham Pro"/>
                <w:sz w:val="20"/>
                <w:szCs w:val="20"/>
                <w:shd w:val="clear" w:color="auto" w:fill="FFFFFF" w:themeFill="background1"/>
              </w:rPr>
            </w:pPr>
            <w:r>
              <w:rPr>
                <w:rStyle w:val="17"/>
                <w:rFonts w:hint="default" w:ascii="Gotham Pro" w:hAnsi="Gotham Pro" w:cs="Gotham Pro"/>
                <w:sz w:val="20"/>
                <w:szCs w:val="20"/>
                <w:shd w:val="clear" w:color="auto" w:fill="FFFFFF" w:themeFill="background1"/>
              </w:rPr>
              <w:t>Коммунальное</w:t>
            </w:r>
            <w:r>
              <w:rPr>
                <w:rFonts w:hint="default" w:ascii="Gotham Pro" w:hAnsi="Gotham Pro" w:cs="Gotham Pro"/>
                <w:sz w:val="20"/>
                <w:szCs w:val="20"/>
                <w:shd w:val="clear" w:color="auto" w:fill="FFFFFF" w:themeFill="background1"/>
              </w:rPr>
              <w:t>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FFFFF"/>
              </w:rPr>
              <w:t>обслуживание</w:t>
            </w:r>
          </w:p>
        </w:tc>
        <w:tc>
          <w:tcPr>
            <w:tcW w:w="47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инженер</w:t>
            </w:r>
            <w:r>
              <w:rPr>
                <w:rFonts w:hint="default" w:ascii="Gotham Pro" w:hAnsi="Gotham Pro" w:cs="Gotham Pro"/>
                <w:sz w:val="20"/>
                <w:szCs w:val="20"/>
                <w:lang w:val="ru-RU"/>
              </w:rPr>
              <w:t>-</w:t>
            </w:r>
            <w:r>
              <w:rPr>
                <w:rFonts w:hint="default" w:ascii="Gotham Pro" w:hAnsi="Gotham Pro" w:cs="Gotham Pro"/>
                <w:sz w:val="20"/>
                <w:szCs w:val="20"/>
              </w:rPr>
              <w:t>ной инфраструктуры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10</w:t>
            </w:r>
          </w:p>
        </w:tc>
        <w:tc>
          <w:tcPr>
            <w:tcW w:w="728" w:type="pct"/>
            <w:shd w:val="clear" w:color="auto" w:fill="auto"/>
            <w:vAlign w:val="top"/>
          </w:tcPr>
          <w:p>
            <w:pPr>
              <w:pStyle w:val="11"/>
              <w:jc w:val="left"/>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8F9FA"/>
              </w:rPr>
              <w:t>03:05:290104:256</w:t>
            </w:r>
          </w:p>
        </w:tc>
        <w:tc>
          <w:tcPr>
            <w:tcW w:w="737" w:type="pct"/>
            <w:vMerge w:val="restar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8F9FA"/>
              </w:rPr>
              <w:t>местность «Солгота»</w:t>
            </w:r>
          </w:p>
        </w:tc>
        <w:tc>
          <w:tcPr>
            <w:tcW w:w="43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1,6623</w:t>
            </w:r>
          </w:p>
        </w:tc>
        <w:tc>
          <w:tcPr>
            <w:tcW w:w="588" w:type="pct"/>
            <w:vMerge w:val="restar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Земли сельскохо</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зяйственного назначения</w:t>
            </w:r>
          </w:p>
          <w:p>
            <w:pPr>
              <w:pStyle w:val="11"/>
              <w:jc w:val="center"/>
              <w:rPr>
                <w:rFonts w:hint="default" w:ascii="Gotham Pro" w:hAnsi="Gotham Pro" w:cs="Gotham Pro" w:eastAsiaTheme="minorEastAsia"/>
                <w:sz w:val="20"/>
                <w:szCs w:val="20"/>
                <w:lang w:val="ru-RU" w:eastAsia="ru-RU" w:bidi="ar-SA"/>
              </w:rPr>
            </w:pPr>
          </w:p>
        </w:tc>
        <w:tc>
          <w:tcPr>
            <w:tcW w:w="629" w:type="pct"/>
            <w:vMerge w:val="restar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под водозаборный узел</w:t>
            </w:r>
          </w:p>
          <w:p>
            <w:pPr>
              <w:pStyle w:val="11"/>
              <w:jc w:val="center"/>
              <w:rPr>
                <w:rFonts w:hint="default" w:ascii="Gotham Pro" w:hAnsi="Gotham Pro" w:cs="Gotham Pro" w:eastAsiaTheme="minorEastAsia"/>
                <w:sz w:val="20"/>
                <w:szCs w:val="20"/>
                <w:lang w:val="ru-RU" w:eastAsia="ru-RU" w:bidi="ar-SA"/>
              </w:rPr>
            </w:pPr>
          </w:p>
        </w:tc>
        <w:tc>
          <w:tcPr>
            <w:tcW w:w="613" w:type="pct"/>
            <w:vMerge w:val="restar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Земли промышленности… и иного специально</w:t>
            </w:r>
            <w:r>
              <w:rPr>
                <w:rFonts w:hint="default" w:ascii="Gotham Pro" w:hAnsi="Gotham Pro" w:cs="Gotham Pro"/>
                <w:sz w:val="20"/>
                <w:szCs w:val="20"/>
                <w:lang w:val="ru-RU"/>
              </w:rPr>
              <w:t>-</w:t>
            </w:r>
            <w:r>
              <w:rPr>
                <w:rFonts w:hint="default" w:ascii="Gotham Pro" w:hAnsi="Gotham Pro" w:cs="Gotham Pro"/>
                <w:sz w:val="20"/>
                <w:szCs w:val="20"/>
              </w:rPr>
              <w:t>го назначения</w:t>
            </w:r>
          </w:p>
        </w:tc>
        <w:tc>
          <w:tcPr>
            <w:tcW w:w="608" w:type="pct"/>
            <w:vMerge w:val="restart"/>
            <w:shd w:val="clear" w:color="auto" w:fill="auto"/>
            <w:vAlign w:val="top"/>
          </w:tcPr>
          <w:p>
            <w:pPr>
              <w:pStyle w:val="11"/>
              <w:jc w:val="center"/>
              <w:rPr>
                <w:rStyle w:val="17"/>
                <w:rFonts w:hint="default" w:ascii="Gotham Pro" w:hAnsi="Gotham Pro" w:cs="Gotham Pro"/>
                <w:sz w:val="20"/>
                <w:szCs w:val="20"/>
                <w:shd w:val="clear" w:color="auto" w:fill="FFFFFF" w:themeFill="background1"/>
              </w:rPr>
            </w:pPr>
            <w:r>
              <w:rPr>
                <w:rStyle w:val="17"/>
                <w:rFonts w:hint="default" w:ascii="Gotham Pro" w:hAnsi="Gotham Pro" w:cs="Gotham Pro"/>
                <w:sz w:val="20"/>
                <w:szCs w:val="20"/>
                <w:shd w:val="clear" w:color="auto" w:fill="FFFFFF" w:themeFill="background1"/>
              </w:rPr>
              <w:t>Коммунальное</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FFFFF" w:themeFill="background1"/>
              </w:rPr>
              <w:t> </w:t>
            </w:r>
            <w:r>
              <w:rPr>
                <w:rFonts w:hint="default" w:ascii="Gotham Pro" w:hAnsi="Gotham Pro" w:cs="Gotham Pro"/>
                <w:sz w:val="20"/>
                <w:szCs w:val="20"/>
                <w:shd w:val="clear" w:color="auto" w:fill="FFFFFF"/>
              </w:rPr>
              <w:t>Обслужива</w:t>
            </w:r>
            <w:r>
              <w:rPr>
                <w:rFonts w:hint="default" w:ascii="Gotham Pro" w:hAnsi="Gotham Pro" w:cs="Gotham Pro"/>
                <w:sz w:val="20"/>
                <w:szCs w:val="20"/>
                <w:shd w:val="clear" w:color="auto" w:fill="FFFFFF"/>
                <w:lang w:val="ru-RU"/>
              </w:rPr>
              <w:t>-</w:t>
            </w:r>
            <w:r>
              <w:rPr>
                <w:rFonts w:hint="default" w:ascii="Gotham Pro" w:hAnsi="Gotham Pro" w:cs="Gotham Pro"/>
                <w:sz w:val="20"/>
                <w:szCs w:val="20"/>
                <w:shd w:val="clear" w:color="auto" w:fill="FFFFFF"/>
              </w:rPr>
              <w:t>ние</w:t>
            </w:r>
          </w:p>
        </w:tc>
        <w:tc>
          <w:tcPr>
            <w:tcW w:w="478" w:type="pct"/>
            <w:vMerge w:val="restar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инженер</w:t>
            </w:r>
            <w:r>
              <w:rPr>
                <w:rFonts w:hint="default" w:ascii="Gotham Pro" w:hAnsi="Gotham Pro" w:cs="Gotham Pro"/>
                <w:sz w:val="20"/>
                <w:szCs w:val="20"/>
                <w:lang w:val="ru-RU"/>
              </w:rPr>
              <w:t>-</w:t>
            </w:r>
            <w:r>
              <w:rPr>
                <w:rFonts w:hint="default" w:ascii="Gotham Pro" w:hAnsi="Gotham Pro" w:cs="Gotham Pro"/>
                <w:sz w:val="20"/>
                <w:szCs w:val="20"/>
              </w:rPr>
              <w:t>ной инфраструк</w:t>
            </w:r>
            <w:r>
              <w:rPr>
                <w:rFonts w:hint="default" w:ascii="Gotham Pro" w:hAnsi="Gotham Pro" w:cs="Gotham Pro"/>
                <w:sz w:val="20"/>
                <w:szCs w:val="20"/>
                <w:lang w:val="ru-RU"/>
              </w:rPr>
              <w:t>-</w:t>
            </w:r>
            <w:r>
              <w:rPr>
                <w:rFonts w:hint="default" w:ascii="Gotham Pro" w:hAnsi="Gotham Pro" w:cs="Gotham Pro"/>
                <w:sz w:val="20"/>
                <w:szCs w:val="20"/>
              </w:rPr>
              <w:t>туры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11</w:t>
            </w:r>
          </w:p>
        </w:tc>
        <w:tc>
          <w:tcPr>
            <w:tcW w:w="728" w:type="pct"/>
            <w:shd w:val="clear" w:color="auto" w:fill="auto"/>
            <w:vAlign w:val="top"/>
          </w:tcPr>
          <w:p>
            <w:pPr>
              <w:pStyle w:val="11"/>
              <w:jc w:val="left"/>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8F9FA"/>
              </w:rPr>
              <w:t>03:05:290104:327</w:t>
            </w:r>
          </w:p>
        </w:tc>
        <w:tc>
          <w:tcPr>
            <w:tcW w:w="737" w:type="pct"/>
            <w:vMerge w:val="continue"/>
            <w:shd w:val="clear" w:color="auto" w:fill="auto"/>
            <w:vAlign w:val="top"/>
          </w:tcPr>
          <w:p>
            <w:pPr>
              <w:pStyle w:val="11"/>
              <w:spacing w:line="276" w:lineRule="auto"/>
              <w:jc w:val="center"/>
              <w:rPr>
                <w:rFonts w:hint="default" w:ascii="Gotham Pro" w:hAnsi="Gotham Pro" w:cs="Gotham Pro"/>
                <w:sz w:val="20"/>
                <w:szCs w:val="20"/>
              </w:rPr>
            </w:pPr>
          </w:p>
        </w:tc>
        <w:tc>
          <w:tcPr>
            <w:tcW w:w="43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0,0027</w:t>
            </w:r>
          </w:p>
        </w:tc>
        <w:tc>
          <w:tcPr>
            <w:tcW w:w="588"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29" w:type="pct"/>
            <w:vMerge w:val="continue"/>
            <w:shd w:val="clear" w:color="auto" w:fill="auto"/>
            <w:vAlign w:val="top"/>
          </w:tcPr>
          <w:p>
            <w:pPr>
              <w:pStyle w:val="11"/>
              <w:spacing w:line="276" w:lineRule="auto"/>
              <w:jc w:val="center"/>
              <w:rPr>
                <w:rFonts w:hint="default" w:ascii="Gotham Pro" w:hAnsi="Gotham Pro" w:cs="Gotham Pro"/>
                <w:sz w:val="20"/>
                <w:szCs w:val="20"/>
              </w:rPr>
            </w:pPr>
          </w:p>
        </w:tc>
        <w:tc>
          <w:tcPr>
            <w:tcW w:w="613" w:type="pct"/>
            <w:vMerge w:val="continue"/>
            <w:shd w:val="clear" w:color="auto" w:fill="auto"/>
            <w:vAlign w:val="top"/>
          </w:tcPr>
          <w:p>
            <w:pPr>
              <w:pStyle w:val="11"/>
              <w:spacing w:line="276" w:lineRule="auto"/>
              <w:jc w:val="center"/>
              <w:rPr>
                <w:rFonts w:hint="default" w:ascii="Gotham Pro" w:hAnsi="Gotham Pro" w:cs="Gotham Pro"/>
                <w:sz w:val="20"/>
                <w:szCs w:val="20"/>
              </w:rPr>
            </w:pPr>
          </w:p>
        </w:tc>
        <w:tc>
          <w:tcPr>
            <w:tcW w:w="608" w:type="pct"/>
            <w:vMerge w:val="continue"/>
            <w:shd w:val="clear" w:color="auto" w:fill="auto"/>
            <w:vAlign w:val="top"/>
          </w:tcPr>
          <w:p>
            <w:pPr>
              <w:pStyle w:val="11"/>
              <w:spacing w:line="276" w:lineRule="auto"/>
              <w:jc w:val="center"/>
              <w:rPr>
                <w:rFonts w:hint="default" w:ascii="Gotham Pro" w:hAnsi="Gotham Pro" w:cs="Gotham Pro"/>
                <w:sz w:val="20"/>
                <w:szCs w:val="20"/>
                <w:shd w:val="clear" w:color="auto" w:fill="FFFFFF"/>
                <w:lang w:val="ru-RU"/>
              </w:rPr>
            </w:pPr>
          </w:p>
        </w:tc>
        <w:tc>
          <w:tcPr>
            <w:tcW w:w="478" w:type="pct"/>
            <w:vMerge w:val="continue"/>
            <w:shd w:val="clear" w:color="auto" w:fill="auto"/>
            <w:vAlign w:val="top"/>
          </w:tcPr>
          <w:p>
            <w:pPr>
              <w:pStyle w:val="11"/>
              <w:spacing w:line="276" w:lineRule="auto"/>
              <w:jc w:val="center"/>
              <w:rPr>
                <w:rFonts w:hint="default" w:ascii="Gotham Pro" w:hAnsi="Gotham Pro" w:cs="Gotham Pro"/>
                <w:sz w:val="20"/>
                <w:szCs w:val="20"/>
                <w:lang w:val="ru-RU"/>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12</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none"/>
                <w:lang w:val="ru-RU" w:eastAsia="ru-RU" w:bidi="ar-SA"/>
              </w:rPr>
            </w:pPr>
            <w:r>
              <w:rPr>
                <w:rFonts w:hint="default" w:ascii="Gotham Pro" w:hAnsi="Gotham Pro" w:cs="Gotham Pro"/>
                <w:sz w:val="20"/>
                <w:szCs w:val="20"/>
                <w:highlight w:val="none"/>
                <w:shd w:val="clear" w:color="auto" w:fill="F8F9FA"/>
              </w:rPr>
              <w:t>03:05:040101:132</w:t>
            </w:r>
          </w:p>
        </w:tc>
        <w:tc>
          <w:tcPr>
            <w:tcW w:w="737"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8F9FA"/>
              </w:rPr>
              <w:t>с южной стороны с. Домна</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1,8452</w:t>
            </w:r>
          </w:p>
        </w:tc>
        <w:tc>
          <w:tcPr>
            <w:tcW w:w="58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населенных пунктов </w:t>
            </w: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8F9FA"/>
              </w:rPr>
              <w:t>Для размещения полигона твердых бытовых отходов</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Земли промышленности… и иного специального назначения</w:t>
            </w:r>
          </w:p>
        </w:tc>
        <w:tc>
          <w:tcPr>
            <w:tcW w:w="608" w:type="pct"/>
            <w:shd w:val="clear" w:color="auto" w:fill="auto"/>
            <w:vAlign w:val="top"/>
          </w:tcPr>
          <w:p>
            <w:pPr>
              <w:pStyle w:val="7"/>
              <w:keepNext w:val="0"/>
              <w:keepLines w:val="0"/>
              <w:widowControl/>
              <w:suppressLineNumbers w:val="0"/>
              <w:spacing w:before="0" w:beforeAutospacing="0" w:after="0" w:afterAutospacing="0"/>
              <w:ind w:left="0" w:right="0"/>
              <w:jc w:val="center"/>
              <w:rPr>
                <w:rFonts w:hint="default" w:ascii="Gotham Pro" w:hAnsi="Gotham Pro" w:cs="Gotham Pro"/>
                <w:sz w:val="20"/>
                <w:szCs w:val="20"/>
              </w:rPr>
            </w:pPr>
            <w:r>
              <w:rPr>
                <w:rFonts w:hint="default" w:ascii="Gotham Pro" w:hAnsi="Gotham Pro" w:cs="Gotham Pro"/>
                <w:sz w:val="20"/>
                <w:szCs w:val="20"/>
              </w:rPr>
              <w:t>Специальная деятельность</w:t>
            </w:r>
          </w:p>
          <w:p>
            <w:pPr>
              <w:pStyle w:val="11"/>
              <w:spacing w:line="276" w:lineRule="auto"/>
              <w:jc w:val="center"/>
              <w:rPr>
                <w:rFonts w:hint="default" w:ascii="Gotham Pro" w:hAnsi="Gotham Pro" w:cs="Gotham Pro" w:eastAsiaTheme="minorEastAsia"/>
                <w:sz w:val="20"/>
                <w:szCs w:val="20"/>
                <w:lang w:val="ru-RU" w:eastAsia="ru-RU" w:bidi="ar-SA"/>
              </w:rPr>
            </w:pP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Зона складирования и захоронения отходов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13</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highlight w:val="none"/>
                <w:shd w:val="clear" w:color="auto" w:fill="F8F9FA"/>
                <w:lang w:val="ru-RU" w:eastAsia="ru-RU" w:bidi="ar-SA"/>
              </w:rPr>
            </w:pPr>
            <w:r>
              <w:rPr>
                <w:rFonts w:hint="default" w:ascii="Gotham Pro" w:hAnsi="Gotham Pro" w:cs="Gotham Pro"/>
                <w:sz w:val="20"/>
                <w:szCs w:val="20"/>
                <w:highlight w:val="none"/>
              </w:rPr>
              <w:br w:type="textWrapping"/>
            </w:r>
            <w:r>
              <w:rPr>
                <w:rFonts w:hint="default" w:ascii="Gotham Pro" w:hAnsi="Gotham Pro" w:cs="Gotham Pro"/>
                <w:sz w:val="20"/>
                <w:szCs w:val="20"/>
                <w:highlight w:val="none"/>
                <w:shd w:val="clear" w:color="auto" w:fill="F8F9FA"/>
              </w:rPr>
              <w:t>03:05:140101:88</w:t>
            </w:r>
          </w:p>
        </w:tc>
        <w:tc>
          <w:tcPr>
            <w:tcW w:w="737"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МО СП «Сосново-Озерское»,</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8F9FA"/>
              </w:rPr>
              <w:t>с южной стороны с. Укыр</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0,6004</w:t>
            </w:r>
          </w:p>
        </w:tc>
        <w:tc>
          <w:tcPr>
            <w:tcW w:w="58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населенных пунктов </w:t>
            </w:r>
          </w:p>
        </w:tc>
        <w:tc>
          <w:tcPr>
            <w:tcW w:w="62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shd w:val="clear" w:color="auto" w:fill="F8F9FA"/>
              </w:rPr>
              <w:t>Для размещения полигона твердых бытовых отходов</w:t>
            </w: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Земли промышленности… и иного специально</w:t>
            </w:r>
            <w:r>
              <w:rPr>
                <w:rFonts w:hint="default" w:ascii="Gotham Pro" w:hAnsi="Gotham Pro" w:cs="Gotham Pro"/>
                <w:sz w:val="20"/>
                <w:szCs w:val="20"/>
                <w:lang w:val="ru-RU"/>
              </w:rPr>
              <w:t>-</w:t>
            </w:r>
            <w:r>
              <w:rPr>
                <w:rFonts w:hint="default" w:ascii="Gotham Pro" w:hAnsi="Gotham Pro" w:cs="Gotham Pro"/>
                <w:sz w:val="20"/>
                <w:szCs w:val="20"/>
              </w:rPr>
              <w:t>го назначения</w:t>
            </w:r>
          </w:p>
        </w:tc>
        <w:tc>
          <w:tcPr>
            <w:tcW w:w="608" w:type="pct"/>
            <w:shd w:val="clear" w:color="auto" w:fill="auto"/>
            <w:vAlign w:val="top"/>
          </w:tcPr>
          <w:p>
            <w:pPr>
              <w:pStyle w:val="7"/>
              <w:keepNext w:val="0"/>
              <w:keepLines w:val="0"/>
              <w:widowControl/>
              <w:suppressLineNumbers w:val="0"/>
              <w:spacing w:before="0" w:beforeAutospacing="0" w:after="0" w:afterAutospacing="0"/>
              <w:ind w:left="0" w:right="0"/>
              <w:jc w:val="center"/>
              <w:rPr>
                <w:rFonts w:hint="default" w:ascii="Gotham Pro" w:hAnsi="Gotham Pro" w:cs="Gotham Pro"/>
                <w:sz w:val="20"/>
                <w:szCs w:val="20"/>
              </w:rPr>
            </w:pPr>
            <w:r>
              <w:rPr>
                <w:rFonts w:hint="default" w:ascii="Gotham Pro" w:hAnsi="Gotham Pro" w:cs="Gotham Pro"/>
                <w:sz w:val="20"/>
                <w:szCs w:val="20"/>
              </w:rPr>
              <w:t>Специальная деятельность</w:t>
            </w:r>
          </w:p>
          <w:p>
            <w:pPr>
              <w:pStyle w:val="11"/>
              <w:spacing w:line="276" w:lineRule="auto"/>
              <w:jc w:val="center"/>
              <w:rPr>
                <w:rFonts w:hint="default" w:ascii="Gotham Pro" w:hAnsi="Gotham Pro" w:cs="Gotham Pro" w:eastAsiaTheme="minorEastAsia"/>
                <w:sz w:val="20"/>
                <w:szCs w:val="20"/>
                <w:lang w:val="ru-RU" w:eastAsia="ru-RU" w:bidi="ar-SA"/>
              </w:rPr>
            </w:pP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Зона </w:t>
            </w:r>
            <w:r>
              <w:rPr>
                <w:rFonts w:hint="default" w:ascii="Gotham Pro" w:hAnsi="Gotham Pro" w:cs="Gotham Pro"/>
                <w:sz w:val="20"/>
                <w:szCs w:val="20"/>
                <w:lang w:val="ru-RU"/>
              </w:rPr>
              <w:t>складирования</w:t>
            </w:r>
            <w:r>
              <w:rPr>
                <w:rFonts w:hint="default" w:ascii="Gotham Pro" w:hAnsi="Gotham Pro" w:cs="Gotham Pro"/>
                <w:sz w:val="20"/>
                <w:szCs w:val="20"/>
              </w:rPr>
              <w:t xml:space="preserve"> и захороне</w:t>
            </w:r>
            <w:r>
              <w:rPr>
                <w:rFonts w:hint="default" w:ascii="Gotham Pro" w:hAnsi="Gotham Pro" w:cs="Gotham Pro"/>
                <w:sz w:val="20"/>
                <w:szCs w:val="20"/>
                <w:lang w:val="ru-RU"/>
              </w:rPr>
              <w:t>-</w:t>
            </w:r>
            <w:r>
              <w:rPr>
                <w:rFonts w:hint="default" w:ascii="Gotham Pro" w:hAnsi="Gotham Pro" w:cs="Gotham Pro"/>
                <w:sz w:val="20"/>
                <w:szCs w:val="20"/>
              </w:rPr>
              <w:t>ния отходов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14</w:t>
            </w:r>
          </w:p>
        </w:tc>
        <w:tc>
          <w:tcPr>
            <w:tcW w:w="728"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eastAsia="Times New Roman" w:cs="Gotham Pro"/>
                <w:sz w:val="20"/>
                <w:szCs w:val="20"/>
              </w:rPr>
              <w:t>03:05:240128:585</w:t>
            </w:r>
          </w:p>
        </w:tc>
        <w:tc>
          <w:tcPr>
            <w:tcW w:w="737"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«Сосново-Озерское»,  вблизи местности «оз. Хамхо»</w:t>
            </w:r>
          </w:p>
        </w:tc>
        <w:tc>
          <w:tcPr>
            <w:tcW w:w="43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7,5874</w:t>
            </w:r>
          </w:p>
        </w:tc>
        <w:tc>
          <w:tcPr>
            <w:tcW w:w="588" w:type="pc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Земли сельскохо</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зяйственного назначения</w:t>
            </w:r>
          </w:p>
          <w:p>
            <w:pPr>
              <w:pStyle w:val="11"/>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jc w:val="center"/>
              <w:rPr>
                <w:rFonts w:hint="default" w:ascii="Gotham Pro" w:hAnsi="Gotham Pro" w:eastAsia="Times New Roman" w:cs="Gotham Pro"/>
                <w:sz w:val="20"/>
                <w:szCs w:val="20"/>
              </w:rPr>
            </w:pPr>
            <w:r>
              <w:rPr>
                <w:rFonts w:hint="default" w:ascii="Gotham Pro" w:hAnsi="Gotham Pro" w:eastAsia="Times New Roman" w:cs="Gotham Pro"/>
                <w:sz w:val="20"/>
                <w:szCs w:val="20"/>
              </w:rPr>
              <w:t>Для сельскохозяйст</w:t>
            </w:r>
            <w:r>
              <w:rPr>
                <w:rFonts w:hint="default" w:ascii="Gotham Pro" w:hAnsi="Gotham Pro" w:eastAsia="Times New Roman" w:cs="Gotham Pro"/>
                <w:sz w:val="20"/>
                <w:szCs w:val="20"/>
                <w:lang w:val="ru-RU"/>
              </w:rPr>
              <w:t>-</w:t>
            </w:r>
            <w:r>
              <w:rPr>
                <w:rFonts w:hint="default" w:ascii="Gotham Pro" w:hAnsi="Gotham Pro" w:eastAsia="Times New Roman" w:cs="Gotham Pro"/>
                <w:sz w:val="20"/>
                <w:szCs w:val="20"/>
              </w:rPr>
              <w:t>венного производства</w:t>
            </w:r>
          </w:p>
          <w:p>
            <w:pPr>
              <w:pStyle w:val="11"/>
              <w:jc w:val="center"/>
              <w:rPr>
                <w:rFonts w:hint="default" w:ascii="Gotham Pro" w:hAnsi="Gotham Pro" w:cs="Gotham Pro" w:eastAsiaTheme="minorEastAsia"/>
                <w:sz w:val="20"/>
                <w:szCs w:val="20"/>
                <w:lang w:val="ru-RU" w:eastAsia="ru-RU" w:bidi="ar-SA"/>
              </w:rPr>
            </w:pPr>
          </w:p>
        </w:tc>
        <w:tc>
          <w:tcPr>
            <w:tcW w:w="6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Земли промышленности… и иного </w:t>
            </w:r>
            <w:r>
              <w:rPr>
                <w:rFonts w:hint="default" w:ascii="Gotham Pro" w:hAnsi="Gotham Pro" w:cs="Gotham Pro"/>
                <w:sz w:val="20"/>
                <w:szCs w:val="20"/>
                <w:lang w:val="ru-RU"/>
              </w:rPr>
              <w:t>специального</w:t>
            </w:r>
            <w:r>
              <w:rPr>
                <w:rFonts w:hint="default" w:ascii="Gotham Pro" w:hAnsi="Gotham Pro" w:cs="Gotham Pro"/>
                <w:sz w:val="20"/>
                <w:szCs w:val="20"/>
              </w:rPr>
              <w:t xml:space="preserve"> назначения</w:t>
            </w:r>
          </w:p>
        </w:tc>
        <w:tc>
          <w:tcPr>
            <w:tcW w:w="60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Недропользо-вание</w:t>
            </w:r>
            <w:r>
              <w:rPr>
                <w:rFonts w:hint="default" w:ascii="Gotham Pro" w:hAnsi="Gotham Pro" w:cs="Gotham Pro"/>
                <w:sz w:val="20"/>
                <w:szCs w:val="20"/>
              </w:rPr>
              <w:t xml:space="preserve"> </w:t>
            </w:r>
          </w:p>
        </w:tc>
        <w:tc>
          <w:tcPr>
            <w:tcW w:w="47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rPr>
              <w:t>Производственная</w:t>
            </w:r>
            <w:r>
              <w:rPr>
                <w:rFonts w:hint="default" w:ascii="Gotham Pro" w:hAnsi="Gotham Pro" w:cs="Gotham Pro"/>
                <w:sz w:val="20"/>
                <w:szCs w:val="20"/>
              </w:rPr>
              <w:t xml:space="preserve">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8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15</w:t>
            </w:r>
          </w:p>
        </w:tc>
        <w:tc>
          <w:tcPr>
            <w:tcW w:w="728"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03:05:240128:577</w:t>
            </w:r>
          </w:p>
        </w:tc>
        <w:tc>
          <w:tcPr>
            <w:tcW w:w="73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shd w:val="clear" w:color="auto" w:fill="F8F9FA"/>
              </w:rPr>
              <w:t>МО СП «Сосново-Озерское», местность «Яндола»</w:t>
            </w:r>
          </w:p>
        </w:tc>
        <w:tc>
          <w:tcPr>
            <w:tcW w:w="43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1,4174</w:t>
            </w:r>
          </w:p>
        </w:tc>
        <w:tc>
          <w:tcPr>
            <w:tcW w:w="588" w:type="pct"/>
            <w:shd w:val="clear" w:color="auto" w:fill="auto"/>
            <w:vAlign w:val="top"/>
          </w:tcPr>
          <w:p>
            <w:pPr>
              <w:pStyle w:val="11"/>
              <w:jc w:val="center"/>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Земли сельскохо</w:t>
            </w:r>
            <w:r>
              <w:rPr>
                <w:rFonts w:hint="default" w:ascii="Gotham Pro" w:hAnsi="Gotham Pro" w:eastAsia="Times New Roman" w:cs="Gotham Pro"/>
                <w:color w:val="000000"/>
                <w:sz w:val="20"/>
                <w:szCs w:val="20"/>
                <w:lang w:val="ru-RU"/>
              </w:rPr>
              <w:t>-</w:t>
            </w:r>
            <w:r>
              <w:rPr>
                <w:rFonts w:hint="default" w:ascii="Gotham Pro" w:hAnsi="Gotham Pro" w:eastAsia="Times New Roman" w:cs="Gotham Pro"/>
                <w:color w:val="000000"/>
                <w:sz w:val="20"/>
                <w:szCs w:val="20"/>
              </w:rPr>
              <w:t>зяйственного назначения</w:t>
            </w:r>
          </w:p>
          <w:p>
            <w:pPr>
              <w:pStyle w:val="11"/>
              <w:jc w:val="center"/>
              <w:rPr>
                <w:rFonts w:hint="default" w:ascii="Gotham Pro" w:hAnsi="Gotham Pro" w:cs="Gotham Pro" w:eastAsiaTheme="minorEastAsia"/>
                <w:sz w:val="20"/>
                <w:szCs w:val="20"/>
                <w:lang w:val="ru-RU" w:eastAsia="ru-RU" w:bidi="ar-SA"/>
              </w:rPr>
            </w:pPr>
          </w:p>
        </w:tc>
        <w:tc>
          <w:tcPr>
            <w:tcW w:w="629" w:type="pct"/>
            <w:shd w:val="clear" w:color="auto" w:fill="auto"/>
            <w:vAlign w:val="top"/>
          </w:tcPr>
          <w:p>
            <w:pPr>
              <w:pStyle w:val="11"/>
              <w:jc w:val="center"/>
              <w:rPr>
                <w:rFonts w:hint="default" w:ascii="Gotham Pro" w:hAnsi="Gotham Pro" w:eastAsia="Times New Roman" w:cs="Gotham Pro"/>
                <w:color w:val="000000"/>
                <w:sz w:val="20"/>
                <w:szCs w:val="20"/>
              </w:rPr>
            </w:pPr>
            <w:r>
              <w:rPr>
                <w:rFonts w:hint="default" w:ascii="Gotham Pro" w:hAnsi="Gotham Pro" w:eastAsia="Times New Roman" w:cs="Gotham Pro"/>
                <w:color w:val="000000"/>
                <w:sz w:val="20"/>
                <w:szCs w:val="20"/>
              </w:rPr>
              <w:t>для сельскохозяйст</w:t>
            </w:r>
            <w:r>
              <w:rPr>
                <w:rFonts w:hint="default" w:ascii="Gotham Pro" w:hAnsi="Gotham Pro" w:eastAsia="Times New Roman" w:cs="Gotham Pro"/>
                <w:color w:val="000000"/>
                <w:sz w:val="20"/>
                <w:szCs w:val="20"/>
                <w:lang w:val="ru-RU"/>
              </w:rPr>
              <w:t>-</w:t>
            </w:r>
            <w:r>
              <w:rPr>
                <w:rFonts w:hint="default" w:ascii="Gotham Pro" w:hAnsi="Gotham Pro" w:eastAsia="Times New Roman" w:cs="Gotham Pro"/>
                <w:color w:val="000000"/>
                <w:sz w:val="20"/>
                <w:szCs w:val="20"/>
              </w:rPr>
              <w:t>венного производства</w:t>
            </w:r>
          </w:p>
          <w:p>
            <w:pPr>
              <w:pStyle w:val="11"/>
              <w:jc w:val="center"/>
              <w:rPr>
                <w:rFonts w:hint="default" w:ascii="Gotham Pro" w:hAnsi="Gotham Pro" w:cs="Gotham Pro" w:eastAsiaTheme="minorEastAsia"/>
                <w:sz w:val="20"/>
                <w:szCs w:val="20"/>
                <w:lang w:val="ru-RU" w:eastAsia="ru-RU" w:bidi="ar-SA"/>
              </w:rPr>
            </w:pPr>
          </w:p>
        </w:tc>
        <w:tc>
          <w:tcPr>
            <w:tcW w:w="61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Земли особо охраняемых территорий и объектов</w:t>
            </w:r>
          </w:p>
        </w:tc>
        <w:tc>
          <w:tcPr>
            <w:tcW w:w="60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Отдых (рекреация)</w:t>
            </w:r>
          </w:p>
        </w:tc>
        <w:tc>
          <w:tcPr>
            <w:tcW w:w="478"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Зона </w:t>
            </w:r>
            <w:r>
              <w:rPr>
                <w:rFonts w:hint="default" w:ascii="Gotham Pro" w:hAnsi="Gotham Pro" w:cs="Gotham Pro"/>
                <w:sz w:val="20"/>
                <w:szCs w:val="20"/>
                <w:lang w:val="ru-RU"/>
              </w:rPr>
              <w:t>рекреационного</w:t>
            </w:r>
            <w:r>
              <w:rPr>
                <w:rFonts w:hint="default" w:ascii="Gotham Pro" w:hAnsi="Gotham Pro" w:cs="Gotham Pro"/>
                <w:sz w:val="20"/>
                <w:szCs w:val="20"/>
              </w:rPr>
              <w:t xml:space="preserve"> назначения</w:t>
            </w:r>
          </w:p>
        </w:tc>
      </w:tr>
    </w:tbl>
    <w:p>
      <w:pPr>
        <w:ind w:left="-13" w:leftChars="0" w:firstLine="13" w:firstLineChars="0"/>
        <w:jc w:val="both"/>
        <w:rPr>
          <w:rFonts w:ascii="Gotham Pro" w:hAnsi="Gotham Pro" w:cs="Gotham Pro"/>
          <w:lang w:eastAsia="ru-RU"/>
        </w:rPr>
        <w:sectPr>
          <w:pgSz w:w="16838" w:h="11906" w:orient="landscape"/>
          <w:pgMar w:top="1701" w:right="1134" w:bottom="567" w:left="1134" w:header="708" w:footer="709" w:gutter="0"/>
          <w:pgNumType w:fmt="decimal"/>
          <w:cols w:space="0" w:num="1"/>
          <w:rtlGutter w:val="0"/>
          <w:docGrid w:linePitch="360" w:charSpace="0"/>
        </w:sectPr>
      </w:pP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2.3. Население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Прогноз численности населения является важным аспектом обоснования вариантов решения задач территориального планирования. Определение перспективной численности населения необходимо для расчета нормативных характеристик сети объектов социальной инфраструктуры на первую очередь и на расчетный срок, для определения перечня предлагаемых мероприятий по достижению нормативных параметров обеспечения населения основными видами обслуживания.Основными задачами социально-экономической политики, проводимой на территории поселения, является обеспечение комфортной среды жизнедеятельности населения на территории поселения, проведение мероприятий, направленных на сдерживание депопуляционных процессов, стимулированию рождаемости и снижению смертности.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сведениям, представленным Администрацией МО СП «Сосново-Озерское», и данными официальной статистики  наблюдается снижение естественного прироста и увеличение миграционного оттока населения за исключением 2022 г. (таблица 2.3.-1).</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6"/>
          <w:szCs w:val="26"/>
          <w:highlight w:val="yellow"/>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Динамика численности населения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2.3.-1</w:t>
      </w:r>
    </w:p>
    <w:tbl>
      <w:tblPr>
        <w:tblStyle w:val="3"/>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754"/>
        <w:gridCol w:w="840"/>
        <w:gridCol w:w="768"/>
        <w:gridCol w:w="768"/>
        <w:gridCol w:w="768"/>
        <w:gridCol w:w="768"/>
        <w:gridCol w:w="780"/>
        <w:gridCol w:w="768"/>
        <w:gridCol w:w="768"/>
        <w:gridCol w:w="792"/>
        <w:gridCol w:w="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99"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показателя</w:t>
            </w:r>
          </w:p>
        </w:tc>
        <w:tc>
          <w:tcPr>
            <w:tcW w:w="4100" w:type="pct"/>
            <w:gridSpan w:val="10"/>
            <w:shd w:val="clear" w:color="auto" w:fill="auto"/>
          </w:tcPr>
          <w:p>
            <w:pPr>
              <w:pStyle w:val="14"/>
              <w:rPr>
                <w:sz w:val="22"/>
                <w:szCs w:val="22"/>
              </w:rPr>
            </w:pPr>
            <w:r>
              <w:rPr>
                <w:rFonts w:hint="default" w:ascii="Gotham Pro" w:hAnsi="Gotham Pro" w:cs="Gotham Pro"/>
                <w:sz w:val="20"/>
                <w:szCs w:val="20"/>
              </w:rPr>
              <w:t>Годы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99" w:type="pct"/>
            <w:vMerge w:val="continue"/>
            <w:shd w:val="clear" w:color="auto" w:fill="auto"/>
          </w:tcPr>
          <w:p>
            <w:pPr>
              <w:pStyle w:val="14"/>
              <w:rPr>
                <w:sz w:val="22"/>
                <w:szCs w:val="22"/>
              </w:rPr>
            </w:pPr>
          </w:p>
        </w:tc>
        <w:tc>
          <w:tcPr>
            <w:tcW w:w="4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2013</w:t>
            </w:r>
          </w:p>
        </w:tc>
        <w:tc>
          <w:tcPr>
            <w:tcW w:w="3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2014</w:t>
            </w:r>
          </w:p>
        </w:tc>
        <w:tc>
          <w:tcPr>
            <w:tcW w:w="3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2015</w:t>
            </w:r>
          </w:p>
        </w:tc>
        <w:tc>
          <w:tcPr>
            <w:tcW w:w="3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2016</w:t>
            </w:r>
          </w:p>
        </w:tc>
        <w:tc>
          <w:tcPr>
            <w:tcW w:w="3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2017</w:t>
            </w:r>
          </w:p>
        </w:tc>
        <w:tc>
          <w:tcPr>
            <w:tcW w:w="40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2018</w:t>
            </w:r>
          </w:p>
        </w:tc>
        <w:tc>
          <w:tcPr>
            <w:tcW w:w="3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2019</w:t>
            </w:r>
          </w:p>
        </w:tc>
        <w:tc>
          <w:tcPr>
            <w:tcW w:w="39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2020</w:t>
            </w:r>
          </w:p>
        </w:tc>
        <w:tc>
          <w:tcPr>
            <w:tcW w:w="40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2021</w:t>
            </w:r>
          </w:p>
        </w:tc>
        <w:tc>
          <w:tcPr>
            <w:tcW w:w="50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9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430"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3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3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3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3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6</w:t>
            </w:r>
          </w:p>
        </w:tc>
        <w:tc>
          <w:tcPr>
            <w:tcW w:w="400"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7</w:t>
            </w:r>
          </w:p>
        </w:tc>
        <w:tc>
          <w:tcPr>
            <w:tcW w:w="3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8</w:t>
            </w:r>
          </w:p>
        </w:tc>
        <w:tc>
          <w:tcPr>
            <w:tcW w:w="39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9</w:t>
            </w:r>
          </w:p>
        </w:tc>
        <w:tc>
          <w:tcPr>
            <w:tcW w:w="406"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10</w:t>
            </w:r>
          </w:p>
        </w:tc>
        <w:tc>
          <w:tcPr>
            <w:tcW w:w="50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Естественный прирост (убыль), чел.</w:t>
            </w:r>
          </w:p>
        </w:tc>
        <w:tc>
          <w:tcPr>
            <w:tcW w:w="43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+82</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+45</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+77</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w:t>
            </w:r>
          </w:p>
        </w:tc>
        <w:tc>
          <w:tcPr>
            <w:tcW w:w="393" w:type="pct"/>
            <w:shd w:val="clear" w:color="auto" w:fill="auto"/>
            <w:vAlign w:val="center"/>
          </w:tcPr>
          <w:p>
            <w:pPr>
              <w:pStyle w:val="11"/>
              <w:spacing w:line="276" w:lineRule="auto"/>
              <w:jc w:val="center"/>
              <w:rPr>
                <w:rFonts w:hint="default" w:ascii="Gotham Pro" w:hAnsi="Gotham Pro" w:cs="Gotham Pro" w:eastAsiaTheme="minorEastAsia"/>
                <w:color w:val="202122"/>
                <w:sz w:val="20"/>
                <w:szCs w:val="20"/>
                <w:lang w:val="ru-RU" w:eastAsia="ru-RU" w:bidi="ar-SA"/>
              </w:rPr>
            </w:pPr>
            <w:r>
              <w:rPr>
                <w:rFonts w:hint="default" w:ascii="Gotham Pro" w:hAnsi="Gotham Pro" w:cs="Gotham Pro"/>
                <w:color w:val="202122"/>
                <w:sz w:val="20"/>
                <w:szCs w:val="20"/>
              </w:rPr>
              <w:t>+60</w:t>
            </w:r>
          </w:p>
        </w:tc>
        <w:tc>
          <w:tcPr>
            <w:tcW w:w="4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+47</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+36</w:t>
            </w:r>
          </w:p>
        </w:tc>
        <w:tc>
          <w:tcPr>
            <w:tcW w:w="406"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5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Рождаемость, чел.</w:t>
            </w:r>
          </w:p>
        </w:tc>
        <w:tc>
          <w:tcPr>
            <w:tcW w:w="43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163</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122</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136</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125</w:t>
            </w:r>
          </w:p>
        </w:tc>
        <w:tc>
          <w:tcPr>
            <w:tcW w:w="393" w:type="pct"/>
            <w:shd w:val="clear" w:color="auto" w:fill="auto"/>
            <w:vAlign w:val="center"/>
          </w:tcPr>
          <w:p>
            <w:pPr>
              <w:pStyle w:val="11"/>
              <w:spacing w:line="276" w:lineRule="auto"/>
              <w:jc w:val="center"/>
              <w:rPr>
                <w:rFonts w:hint="default" w:ascii="Gotham Pro" w:hAnsi="Gotham Pro" w:cs="Gotham Pro" w:eastAsiaTheme="minorEastAsia"/>
                <w:color w:val="202122"/>
                <w:sz w:val="20"/>
                <w:szCs w:val="20"/>
                <w:lang w:val="ru-RU" w:eastAsia="ru-RU" w:bidi="ar-SA"/>
              </w:rPr>
            </w:pPr>
            <w:r>
              <w:rPr>
                <w:rFonts w:hint="default" w:ascii="Gotham Pro" w:hAnsi="Gotham Pro" w:cs="Gotham Pro"/>
                <w:color w:val="202122"/>
                <w:sz w:val="20"/>
                <w:szCs w:val="20"/>
              </w:rPr>
              <w:t>119</w:t>
            </w:r>
          </w:p>
        </w:tc>
        <w:tc>
          <w:tcPr>
            <w:tcW w:w="4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41</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112</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104</w:t>
            </w:r>
          </w:p>
        </w:tc>
        <w:tc>
          <w:tcPr>
            <w:tcW w:w="406"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90</w:t>
            </w:r>
          </w:p>
        </w:tc>
        <w:tc>
          <w:tcPr>
            <w:tcW w:w="5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Смертность, чел.</w:t>
            </w:r>
          </w:p>
        </w:tc>
        <w:tc>
          <w:tcPr>
            <w:tcW w:w="43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81</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77</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59</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59</w:t>
            </w:r>
          </w:p>
        </w:tc>
        <w:tc>
          <w:tcPr>
            <w:tcW w:w="393" w:type="pct"/>
            <w:shd w:val="clear" w:color="auto" w:fill="auto"/>
            <w:vAlign w:val="center"/>
          </w:tcPr>
          <w:p>
            <w:pPr>
              <w:pStyle w:val="11"/>
              <w:spacing w:line="276" w:lineRule="auto"/>
              <w:jc w:val="center"/>
              <w:rPr>
                <w:rFonts w:hint="default" w:ascii="Gotham Pro" w:hAnsi="Gotham Pro" w:cs="Gotham Pro" w:eastAsiaTheme="minorEastAsia"/>
                <w:color w:val="202122"/>
                <w:sz w:val="20"/>
                <w:szCs w:val="20"/>
                <w:lang w:val="ru-RU" w:eastAsia="ru-RU" w:bidi="ar-SA"/>
              </w:rPr>
            </w:pPr>
            <w:r>
              <w:rPr>
                <w:rFonts w:hint="default" w:ascii="Gotham Pro" w:hAnsi="Gotham Pro" w:cs="Gotham Pro"/>
                <w:color w:val="202122"/>
                <w:sz w:val="20"/>
                <w:szCs w:val="20"/>
              </w:rPr>
              <w:t>59</w:t>
            </w:r>
          </w:p>
        </w:tc>
        <w:tc>
          <w:tcPr>
            <w:tcW w:w="4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42</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65</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68</w:t>
            </w:r>
          </w:p>
        </w:tc>
        <w:tc>
          <w:tcPr>
            <w:tcW w:w="406"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89</w:t>
            </w:r>
          </w:p>
        </w:tc>
        <w:tc>
          <w:tcPr>
            <w:tcW w:w="5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Миграционный прирост/отток, чел.</w:t>
            </w:r>
          </w:p>
        </w:tc>
        <w:tc>
          <w:tcPr>
            <w:tcW w:w="43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-97</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-36</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-76</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w:t>
            </w:r>
          </w:p>
        </w:tc>
        <w:tc>
          <w:tcPr>
            <w:tcW w:w="393" w:type="pct"/>
            <w:shd w:val="clear" w:color="auto" w:fill="auto"/>
            <w:vAlign w:val="center"/>
          </w:tcPr>
          <w:p>
            <w:pPr>
              <w:pStyle w:val="11"/>
              <w:spacing w:line="276" w:lineRule="auto"/>
              <w:jc w:val="center"/>
              <w:rPr>
                <w:rFonts w:hint="default" w:ascii="Gotham Pro" w:hAnsi="Gotham Pro" w:cs="Gotham Pro" w:eastAsiaTheme="minorEastAsia"/>
                <w:color w:val="202122"/>
                <w:sz w:val="20"/>
                <w:szCs w:val="20"/>
                <w:lang w:val="ru-RU" w:eastAsia="ru-RU" w:bidi="ar-SA"/>
              </w:rPr>
            </w:pPr>
            <w:r>
              <w:rPr>
                <w:rFonts w:hint="default" w:ascii="Gotham Pro" w:hAnsi="Gotham Pro" w:cs="Gotham Pro"/>
                <w:color w:val="202122"/>
                <w:sz w:val="20"/>
                <w:szCs w:val="20"/>
              </w:rPr>
              <w:t>-147</w:t>
            </w:r>
          </w:p>
        </w:tc>
        <w:tc>
          <w:tcPr>
            <w:tcW w:w="4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-34</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-44</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-84</w:t>
            </w:r>
          </w:p>
        </w:tc>
        <w:tc>
          <w:tcPr>
            <w:tcW w:w="406"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-126</w:t>
            </w:r>
          </w:p>
        </w:tc>
        <w:tc>
          <w:tcPr>
            <w:tcW w:w="5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Общий прирост, чел.</w:t>
            </w:r>
          </w:p>
        </w:tc>
        <w:tc>
          <w:tcPr>
            <w:tcW w:w="43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+51</w:t>
            </w:r>
          </w:p>
        </w:tc>
        <w:tc>
          <w:tcPr>
            <w:tcW w:w="393" w:type="pct"/>
            <w:shd w:val="clear" w:color="auto" w:fill="auto"/>
            <w:vAlign w:val="center"/>
          </w:tcPr>
          <w:p>
            <w:pPr>
              <w:pStyle w:val="11"/>
              <w:spacing w:line="276" w:lineRule="auto"/>
              <w:jc w:val="center"/>
              <w:rPr>
                <w:rFonts w:hint="default" w:ascii="Gotham Pro" w:hAnsi="Gotham Pro" w:cs="Gotham Pro" w:eastAsiaTheme="minorEastAsia"/>
                <w:color w:val="202122"/>
                <w:sz w:val="20"/>
                <w:szCs w:val="20"/>
                <w:lang w:val="ru-RU" w:eastAsia="ru-RU" w:bidi="ar-SA"/>
              </w:rPr>
            </w:pPr>
            <w:r>
              <w:rPr>
                <w:rFonts w:hint="default" w:ascii="Gotham Pro" w:hAnsi="Gotham Pro" w:cs="Gotham Pro"/>
                <w:color w:val="202122"/>
                <w:sz w:val="20"/>
                <w:szCs w:val="20"/>
              </w:rPr>
              <w:t>-87</w:t>
            </w:r>
          </w:p>
        </w:tc>
        <w:tc>
          <w:tcPr>
            <w:tcW w:w="4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-35</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-48</w:t>
            </w:r>
          </w:p>
        </w:tc>
        <w:tc>
          <w:tcPr>
            <w:tcW w:w="406"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-125</w:t>
            </w:r>
          </w:p>
        </w:tc>
        <w:tc>
          <w:tcPr>
            <w:tcW w:w="5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Общая численность населения, чел.</w:t>
            </w:r>
          </w:p>
        </w:tc>
        <w:tc>
          <w:tcPr>
            <w:tcW w:w="43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6447</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6456</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6457</w:t>
            </w:r>
          </w:p>
        </w:tc>
        <w:tc>
          <w:tcPr>
            <w:tcW w:w="393" w:type="pct"/>
            <w:shd w:val="clear" w:color="auto" w:fill="auto"/>
            <w:vAlign w:val="center"/>
          </w:tcPr>
          <w:p>
            <w:pPr>
              <w:pStyle w:val="14"/>
              <w:ind w:left="0" w:leftChars="0" w:firstLine="0" w:firstLineChars="0"/>
              <w:jc w:val="center"/>
              <w:rPr>
                <w:sz w:val="22"/>
                <w:szCs w:val="22"/>
              </w:rPr>
            </w:pPr>
            <w:r>
              <w:rPr>
                <w:rFonts w:hint="default" w:ascii="Gotham Pro" w:hAnsi="Gotham Pro" w:cs="Gotham Pro"/>
                <w:sz w:val="20"/>
                <w:szCs w:val="20"/>
              </w:rPr>
              <w:t>6508</w:t>
            </w:r>
          </w:p>
        </w:tc>
        <w:tc>
          <w:tcPr>
            <w:tcW w:w="393" w:type="pct"/>
            <w:shd w:val="clear" w:color="auto" w:fill="auto"/>
            <w:vAlign w:val="center"/>
          </w:tcPr>
          <w:p>
            <w:pPr>
              <w:pStyle w:val="14"/>
              <w:ind w:left="0" w:leftChars="0" w:firstLine="0" w:firstLineChars="0"/>
              <w:jc w:val="center"/>
              <w:rPr>
                <w:sz w:val="22"/>
                <w:szCs w:val="22"/>
              </w:rPr>
            </w:pPr>
            <w:r>
              <w:rPr>
                <w:rFonts w:hint="default" w:ascii="Gotham Pro" w:hAnsi="Gotham Pro" w:cs="Gotham Pro"/>
                <w:color w:val="202122"/>
                <w:sz w:val="20"/>
                <w:szCs w:val="20"/>
              </w:rPr>
              <w:t>6421</w:t>
            </w:r>
          </w:p>
        </w:tc>
        <w:tc>
          <w:tcPr>
            <w:tcW w:w="400" w:type="pct"/>
            <w:shd w:val="clear" w:color="auto" w:fill="auto"/>
            <w:vAlign w:val="center"/>
          </w:tcPr>
          <w:p>
            <w:pPr>
              <w:pStyle w:val="14"/>
              <w:ind w:left="0" w:leftChars="0" w:firstLine="0" w:firstLineChars="0"/>
              <w:jc w:val="center"/>
              <w:rPr>
                <w:sz w:val="22"/>
                <w:szCs w:val="22"/>
              </w:rPr>
            </w:pPr>
            <w:r>
              <w:rPr>
                <w:rFonts w:hint="default" w:ascii="Gotham Pro" w:hAnsi="Gotham Pro" w:cs="Gotham Pro"/>
                <w:sz w:val="20"/>
                <w:szCs w:val="20"/>
              </w:rPr>
              <w:t>6386</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6389</w:t>
            </w:r>
          </w:p>
        </w:tc>
        <w:tc>
          <w:tcPr>
            <w:tcW w:w="393"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6437</w:t>
            </w:r>
          </w:p>
        </w:tc>
        <w:tc>
          <w:tcPr>
            <w:tcW w:w="406"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6562</w:t>
            </w:r>
          </w:p>
        </w:tc>
        <w:tc>
          <w:tcPr>
            <w:tcW w:w="500" w:type="pct"/>
            <w:shd w:val="clear" w:color="auto" w:fill="auto"/>
            <w:vAlign w:val="center"/>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6697</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lang w:val="ru-RU"/>
        </w:rPr>
        <w:t>О</w:t>
      </w:r>
      <w:r>
        <w:rPr>
          <w:rFonts w:hint="default" w:ascii="Gotham Pro" w:hAnsi="Gotham Pro" w:cs="Gotham Pro"/>
          <w:sz w:val="24"/>
          <w:szCs w:val="24"/>
        </w:rPr>
        <w:t>сновными причинами снижения численности населения являются:</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xml:space="preserve">- миграционный отток населения, в том числе трудоспособного возраста (преимущественно в районный центр Еравнинского района – с. </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Сосново-Озерское</w:t>
      </w:r>
      <w:r>
        <w:rPr>
          <w:rFonts w:hint="default" w:ascii="Gotham Pro" w:hAnsi="Gotham Pro" w:cs="Gotham Pro"/>
          <w:sz w:val="24"/>
          <w:szCs w:val="24"/>
          <w:lang w:val="ru-RU"/>
        </w:rPr>
        <w:t xml:space="preserve"> в части снижения населения в других населенных пунктах поселения)</w:t>
      </w:r>
      <w:r>
        <w:rPr>
          <w:rFonts w:hint="default" w:ascii="Gotham Pro" w:hAnsi="Gotham Pro" w:cs="Gotham Pro"/>
          <w:sz w:val="24"/>
          <w:szCs w:val="24"/>
        </w:rPr>
        <w:t>, Улан-Удэнскую агломерацию (г. Улан-Удэ, пригородные районы);</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lang w:val="ru-RU"/>
        </w:rPr>
        <w:t>-</w:t>
      </w:r>
      <w:r>
        <w:rPr>
          <w:rFonts w:hint="default" w:ascii="Gotham Pro" w:hAnsi="Gotham Pro" w:cs="Gotham Pro"/>
          <w:sz w:val="24"/>
          <w:szCs w:val="24"/>
        </w:rPr>
        <w:t xml:space="preserve"> безработица, отсутствие рабочих мест с достойной оплатой труда, низкий уровень доходов сельского населения;</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слабое развитие сельской инфраструктуры, неудовлетворительное состояние культурно-досугового комплекса, транспортная удалённость, отсутствие качественных дорог;</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нехватка квалифицированных специалистов на селе, в том числе в образовании, медицине. Вследствие этого, снижается качество предоставляемых услуг в образовании и медицине;</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«старение» населения, возрастание демографической нагрузки на трудоспособное население;</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 низкий уровень комфортности проживания в сельской местности.</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В этой связи главной задачей является стабилизация численности населения путем улучшения социально-экономической ситуации как в целом по республике, так и, в частности, в Еравнинском районе и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Демографическая ситуация в поселении во многом будет зависеть от проводимой государством политики по развитию сельских территорий.  Политика развития сельских территорий – это отношение государства к сельским территориям как единым территориальным исторически сложившимся комплексам, выполняющим производственно-экономическую, социально-демографическую, культурную, природоохранную, рекреационную и другие общенациональные функции.</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Подобный подход к развитию сельских территорий имеет место в Стратегии устойчивого развития сельских территорий Российской Федерации на период до 2030 года, где в качестве основных целей государственной политики в области обеспечения устойчивого развития сельских территорий на период до 2030 года  определены: создание благоприятных социально-экономических условий для выполнения сельскими территориями их общенациональных функций и решения задач территориального развития; обеспечение стабилизации численности сельского населения и создание условий для его роста за счет снижения смертности, увеличения ожидаемой продолжительности жизни, уменьшения миграционного оттока населения; обеспечение занятости, повышение уровня и качества жизни сельского населения с учетом современных требований и стандартов; повышение эффективности сельского хозяйства и пр.</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Также развитие территории поселения связано с реализацией мероприятий Стратегии социально-экономического развития Дальнего Востока и Байкальского региона на период до 2025 года и Стратегией социально-экономического развития Республики Бурятия на период до 2035 года.</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Прогноз численности населения поселения осуществлен на основе существующего социально-экономического положения и мероприятий государственных и муниципальных программ, предусматривающих развитие экономики, повышение уровня инвестиционной привлекательности Еравнинского района, МО СП «Сосново-Озерское» и повышение уровня и качества жизни населения.</w:t>
      </w:r>
    </w:p>
    <w:p>
      <w:pPr>
        <w:pStyle w:val="11"/>
        <w:spacing w:line="276" w:lineRule="auto"/>
        <w:ind w:firstLine="567"/>
        <w:jc w:val="both"/>
        <w:rPr>
          <w:rFonts w:ascii="Times New Roman" w:hAnsi="Times New Roman" w:cs="Times New Roman"/>
          <w:sz w:val="28"/>
          <w:szCs w:val="28"/>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Прогноз численности населения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2.3.-2</w:t>
      </w:r>
    </w:p>
    <w:tbl>
      <w:tblPr>
        <w:tblStyle w:val="3"/>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774"/>
        <w:gridCol w:w="1416"/>
        <w:gridCol w:w="1392"/>
        <w:gridCol w:w="1416"/>
        <w:gridCol w:w="1284"/>
        <w:gridCol w:w="14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431"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показателя</w:t>
            </w:r>
          </w:p>
        </w:tc>
        <w:tc>
          <w:tcPr>
            <w:tcW w:w="730"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 поселению</w:t>
            </w:r>
          </w:p>
        </w:tc>
        <w:tc>
          <w:tcPr>
            <w:tcW w:w="2837" w:type="pct"/>
            <w:gridSpan w:val="4"/>
            <w:shd w:val="clear" w:color="auto" w:fill="auto"/>
          </w:tcPr>
          <w:p>
            <w:pPr>
              <w:pStyle w:val="14"/>
              <w:rPr>
                <w:sz w:val="20"/>
                <w:szCs w:val="20"/>
              </w:rPr>
            </w:pPr>
            <w:r>
              <w:rPr>
                <w:rFonts w:hint="default" w:ascii="Gotham Pro" w:hAnsi="Gotham Pro" w:cs="Gotham Pro"/>
                <w:sz w:val="20"/>
                <w:szCs w:val="20"/>
              </w:rPr>
              <w:t>в том числе: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431" w:type="pct"/>
            <w:vMerge w:val="continue"/>
            <w:shd w:val="clear" w:color="auto" w:fill="auto"/>
          </w:tcPr>
          <w:p>
            <w:pPr>
              <w:pStyle w:val="14"/>
              <w:rPr>
                <w:sz w:val="20"/>
                <w:szCs w:val="20"/>
              </w:rPr>
            </w:pPr>
          </w:p>
        </w:tc>
        <w:tc>
          <w:tcPr>
            <w:tcW w:w="730" w:type="pct"/>
            <w:vMerge w:val="continue"/>
            <w:shd w:val="clear" w:color="auto" w:fill="auto"/>
          </w:tcPr>
          <w:p>
            <w:pPr>
              <w:pStyle w:val="14"/>
              <w:rPr>
                <w:sz w:val="20"/>
                <w:szCs w:val="20"/>
              </w:rPr>
            </w:pPr>
          </w:p>
        </w:tc>
        <w:tc>
          <w:tcPr>
            <w:tcW w:w="71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с. Сосново-Озерское </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Домна</w:t>
            </w:r>
          </w:p>
        </w:tc>
        <w:tc>
          <w:tcPr>
            <w:tcW w:w="66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 Укыр</w:t>
            </w:r>
          </w:p>
        </w:tc>
        <w:tc>
          <w:tcPr>
            <w:tcW w:w="72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 Гарам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47" w:hRule="atLeast"/>
          <w:tblHeader/>
        </w:trPr>
        <w:tc>
          <w:tcPr>
            <w:tcW w:w="1431"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73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71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730"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662"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c>
          <w:tcPr>
            <w:tcW w:w="724"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1" w:type="pct"/>
            <w:shd w:val="clear" w:color="auto" w:fill="auto"/>
            <w:vAlign w:val="top"/>
          </w:tcPr>
          <w:p>
            <w:pPr>
              <w:pStyle w:val="11"/>
              <w:spacing w:line="276" w:lineRule="auto"/>
              <w:jc w:val="both"/>
              <w:rPr>
                <w:rFonts w:hint="default" w:ascii="Times New Roman" w:hAnsi="Times New Roman" w:cs="Times New Roman" w:eastAsiaTheme="minorEastAsia"/>
                <w:sz w:val="20"/>
                <w:szCs w:val="20"/>
                <w:lang w:val="ru-RU" w:eastAsia="ru-RU" w:bidi="ar-SA"/>
              </w:rPr>
            </w:pPr>
            <w:r>
              <w:rPr>
                <w:rFonts w:hint="default" w:ascii="Gotham Pro" w:hAnsi="Gotham Pro" w:cs="Gotham Pro"/>
                <w:sz w:val="20"/>
                <w:szCs w:val="20"/>
              </w:rPr>
              <w:t>Численность населения на 2023 г, чел.</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6697</w:t>
            </w:r>
          </w:p>
        </w:tc>
        <w:tc>
          <w:tcPr>
            <w:tcW w:w="71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6606</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154</w:t>
            </w:r>
          </w:p>
        </w:tc>
        <w:tc>
          <w:tcPr>
            <w:tcW w:w="66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51</w:t>
            </w:r>
          </w:p>
        </w:tc>
        <w:tc>
          <w:tcPr>
            <w:tcW w:w="72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Численность населения на первую очередь, чел.</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6355</w:t>
            </w:r>
          </w:p>
        </w:tc>
        <w:tc>
          <w:tcPr>
            <w:tcW w:w="71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5991</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144</w:t>
            </w:r>
          </w:p>
        </w:tc>
        <w:tc>
          <w:tcPr>
            <w:tcW w:w="66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46</w:t>
            </w:r>
          </w:p>
        </w:tc>
        <w:tc>
          <w:tcPr>
            <w:tcW w:w="72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174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43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Численность населения на расчетный срок, чел.</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6665</w:t>
            </w:r>
          </w:p>
        </w:tc>
        <w:tc>
          <w:tcPr>
            <w:tcW w:w="71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6290</w:t>
            </w:r>
          </w:p>
        </w:tc>
        <w:tc>
          <w:tcPr>
            <w:tcW w:w="730"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148</w:t>
            </w:r>
          </w:p>
        </w:tc>
        <w:tc>
          <w:tcPr>
            <w:tcW w:w="66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48</w:t>
            </w:r>
          </w:p>
        </w:tc>
        <w:tc>
          <w:tcPr>
            <w:tcW w:w="724"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179</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Стратегией СЭР МО «Еравнинский район» в целях преодоления тенденций к сокращению регионального рынка труда и развитие его качественных основ предлагается решение следующих задач:</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1.Снижение безработицы, особенно среди молодежи;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2.Развитие системы самозанятости населения, грантовой поддержки талантливой молодежи и малых предприятий;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3.Повышение качества имеющихся и вновь создаваемых рабочих мест;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4.Снижение оттока высококвалифицированных кадров из района.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highlight w:val="none"/>
        </w:rPr>
      </w:pPr>
      <w:r>
        <w:rPr>
          <w:rFonts w:hint="default" w:ascii="Gotham Pro" w:hAnsi="Gotham Pro" w:cs="Gotham Pro"/>
          <w:sz w:val="24"/>
          <w:szCs w:val="24"/>
          <w:highlight w:val="none"/>
        </w:rPr>
        <w:t>Реализация мероприятий государственных и муниципальных программ позволит на первых порах стабилизировать миграционный отток населения, увеличить рождаемость, а в последующем увеличение миграционного прироста численности населения.</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6"/>
          <w:szCs w:val="26"/>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2.4. Развитие жилищного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Генеральным планом предлагается развитие жилищного строительства в целях: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улучшения жилищной обеспеченности населения (доведения средней обеспеченности жилой площадью до установленных Местными нормативами градостроительного проектирования 18 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расселения из ветхого и аварийного жилья;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поддержки молодых семей и молодых специалистов;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развития и поддержки личных подсобных хозяйств, крестьянских (фермерских) хозяйств;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строительства ведомственного жилого фонда;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развития ипотечного кредитования жилищного строительства.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Планируемые жилые территории, предусмотренные предыдущей редакцией генерального плана поселения,сохраняются в качестве площадок для развития жилищного строительства. Настоящим генеральным планом</w:t>
      </w:r>
      <w:r>
        <w:rPr>
          <w:rFonts w:hint="default" w:ascii="Gotham Pro" w:hAnsi="Gotham Pro" w:cs="Gotham Pro"/>
          <w:sz w:val="24"/>
          <w:szCs w:val="24"/>
          <w:lang w:val="ru-RU"/>
        </w:rPr>
        <w:t xml:space="preserve"> </w:t>
      </w:r>
      <w:r>
        <w:rPr>
          <w:rFonts w:hint="default" w:ascii="Gotham Pro" w:hAnsi="Gotham Pro" w:cs="Gotham Pro"/>
          <w:sz w:val="24"/>
          <w:szCs w:val="24"/>
        </w:rPr>
        <w:t>предлагается застройка индивидуальными жилыми</w:t>
      </w:r>
      <w:r>
        <w:rPr>
          <w:rFonts w:hint="default" w:ascii="Gotham Pro" w:hAnsi="Gotham Pro" w:cs="Gotham Pro"/>
          <w:sz w:val="24"/>
          <w:szCs w:val="24"/>
          <w:lang w:val="ru-RU"/>
        </w:rPr>
        <w:t xml:space="preserve"> </w:t>
      </w:r>
      <w:r>
        <w:rPr>
          <w:rFonts w:hint="default" w:ascii="Gotham Pro" w:hAnsi="Gotham Pro" w:cs="Gotham Pro"/>
          <w:sz w:val="24"/>
          <w:szCs w:val="24"/>
        </w:rPr>
        <w:t>домами на приусадебных земельных участках.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Предоставление земельных участков предлагается осуществлять в порядке, установленном земельным законодательством, в том числе путем льготного предоставления земельных участков в соответствии: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Законом Республики Бурятия от 16.10.2002 № 115-III «О бесплатном предоставлении в собственность земельных участков, находящихся в государственной и муниципальной собственности»;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со статьей 12.1 Закон Республики Бурятия от 30.12.2003 № 601-III «О земле»;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программой «Дальневосточный гектар» (Федеральный закон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результате указанных решений предлагается увеличить среднюю жилищную обеспеченность до 25 м</w:t>
      </w:r>
      <w:r>
        <w:rPr>
          <w:rFonts w:hint="default" w:ascii="Gotham Pro" w:hAnsi="Gotham Pro" w:cs="Gotham Pro"/>
          <w:sz w:val="24"/>
          <w:szCs w:val="24"/>
          <w:vertAlign w:val="superscript"/>
        </w:rPr>
        <w:t>2</w:t>
      </w:r>
      <w:r>
        <w:rPr>
          <w:rFonts w:hint="default" w:ascii="Gotham Pro" w:hAnsi="Gotham Pro" w:cs="Gotham Pro"/>
          <w:sz w:val="24"/>
          <w:szCs w:val="24"/>
        </w:rPr>
        <w:t>.</w:t>
      </w:r>
    </w:p>
    <w:p>
      <w:pPr>
        <w:pStyle w:val="11"/>
        <w:spacing w:line="276" w:lineRule="auto"/>
        <w:ind w:firstLine="567"/>
        <w:jc w:val="center"/>
        <w:rPr>
          <w:rFonts w:ascii="Times New Roman" w:hAnsi="Times New Roman" w:cs="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Расчетные показатели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объемов жилищного строительства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2.4.-1</w:t>
      </w:r>
    </w:p>
    <w:tbl>
      <w:tblPr>
        <w:tblStyle w:val="3"/>
        <w:tblW w:w="49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730"/>
        <w:gridCol w:w="1716"/>
        <w:gridCol w:w="1548"/>
        <w:gridCol w:w="169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44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показатель</w:t>
            </w:r>
          </w:p>
        </w:tc>
        <w:tc>
          <w:tcPr>
            <w:tcW w:w="885"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Исходный год (2023 г.)</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 по факту</w:t>
            </w: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Первая очередь</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Расчетный срок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441"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88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79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87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Численность населения, чел.</w:t>
            </w:r>
          </w:p>
        </w:tc>
        <w:tc>
          <w:tcPr>
            <w:tcW w:w="885"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6697</w:t>
            </w: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6355</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41" w:type="pct"/>
            <w:shd w:val="clear" w:color="auto" w:fill="auto"/>
            <w:vAlign w:val="top"/>
          </w:tcPr>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Средняя жилищная обеспеченность, м</w:t>
            </w:r>
            <w:r>
              <w:rPr>
                <w:rFonts w:hint="default" w:ascii="Gotham Pro" w:hAnsi="Gotham Pro" w:cs="Gotham Pro"/>
                <w:sz w:val="20"/>
                <w:szCs w:val="20"/>
                <w:vertAlign w:val="superscript"/>
              </w:rPr>
              <w:t>2</w:t>
            </w:r>
            <w:r>
              <w:rPr>
                <w:rFonts w:hint="default" w:ascii="Gotham Pro" w:hAnsi="Gotham Pro" w:cs="Gotham Pro"/>
                <w:sz w:val="20"/>
                <w:szCs w:val="20"/>
              </w:rPr>
              <w:t>/чел.</w:t>
            </w:r>
          </w:p>
        </w:tc>
        <w:tc>
          <w:tcPr>
            <w:tcW w:w="885"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23,07</w:t>
            </w: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25</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Фактический жилой фонд, м</w:t>
            </w:r>
            <w:r>
              <w:rPr>
                <w:rFonts w:hint="default" w:ascii="Gotham Pro" w:hAnsi="Gotham Pro" w:cs="Gotham Pro"/>
                <w:sz w:val="20"/>
                <w:szCs w:val="20"/>
                <w:vertAlign w:val="superscript"/>
              </w:rPr>
              <w:t>2</w:t>
            </w:r>
            <w:r>
              <w:rPr>
                <w:rFonts w:hint="default" w:ascii="Gotham Pro" w:hAnsi="Gotham Pro" w:cs="Gotham Pro"/>
                <w:sz w:val="20"/>
                <w:szCs w:val="20"/>
              </w:rPr>
              <w:t>/ ед.</w:t>
            </w:r>
          </w:p>
        </w:tc>
        <w:tc>
          <w:tcPr>
            <w:tcW w:w="885"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154520</w:t>
            </w: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153320</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155875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Ветхое и аварийное жилье, м</w:t>
            </w:r>
            <w:r>
              <w:rPr>
                <w:rFonts w:hint="default" w:ascii="Gotham Pro" w:hAnsi="Gotham Pro" w:cs="Gotham Pro"/>
                <w:sz w:val="20"/>
                <w:szCs w:val="20"/>
                <w:vertAlign w:val="superscript"/>
              </w:rPr>
              <w:t>2</w:t>
            </w:r>
          </w:p>
        </w:tc>
        <w:tc>
          <w:tcPr>
            <w:tcW w:w="885"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4200</w:t>
            </w: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3000</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Расчетный жилой фонд, м</w:t>
            </w:r>
            <w:r>
              <w:rPr>
                <w:rFonts w:hint="default" w:ascii="Gotham Pro" w:hAnsi="Gotham Pro" w:cs="Gotham Pro"/>
                <w:sz w:val="20"/>
                <w:szCs w:val="20"/>
                <w:vertAlign w:val="superscript"/>
              </w:rPr>
              <w:t>2</w:t>
            </w:r>
          </w:p>
        </w:tc>
        <w:tc>
          <w:tcPr>
            <w:tcW w:w="885"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158875</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166625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41"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Объем жилищного строительства, м</w:t>
            </w:r>
            <w:r>
              <w:rPr>
                <w:rFonts w:hint="default" w:ascii="Gotham Pro" w:hAnsi="Gotham Pro" w:cs="Gotham Pro"/>
                <w:sz w:val="20"/>
                <w:szCs w:val="20"/>
                <w:vertAlign w:val="superscript"/>
              </w:rPr>
              <w:t>2</w:t>
            </w:r>
          </w:p>
        </w:tc>
        <w:tc>
          <w:tcPr>
            <w:tcW w:w="885"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79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5555</w:t>
            </w:r>
          </w:p>
        </w:tc>
        <w:tc>
          <w:tcPr>
            <w:tcW w:w="87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10750</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2.5. Развитие социальной инфраструктуры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Расчет обеспеченности объектами социальной инфраструктуры (таблица 2.5.-1) осуществлён в соответствии с:</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Нормативами градостроительного проектирования Республики Бурятия, утверждёнными приказом Минстроя РБ от 22.08.2016 № 037-140;</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Местными нормативами градостроительного проектирования МО «Еравнинский район», утвержденными Решением Совета                                                                                                                                                                                                                депутатов МО «Еравнинский район» от 22.12 2017 №40/9;</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Местными нормативами градостроительного проектирования МО СП «Сосново-Озерское», утвержденными Решением Совета                                                                                                                                                                                                                депутатов МО «Еравнинский район» от 22.12 2017 №40/10-7.</w:t>
      </w: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sectPr>
          <w:pgSz w:w="11906" w:h="16838"/>
          <w:pgMar w:top="1134" w:right="567" w:bottom="1134" w:left="1701" w:header="708" w:footer="709" w:gutter="0"/>
          <w:pgNumType w:fmt="decimal"/>
          <w:cols w:space="0" w:num="1"/>
          <w:rtlGutter w:val="0"/>
          <w:docGrid w:linePitch="360" w:charSpace="0"/>
        </w:sectPr>
      </w:pP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Расчет потребности в объектах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социального и культурно-бытового назначения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2.5.-1</w:t>
      </w:r>
    </w:p>
    <w:tbl>
      <w:tblPr>
        <w:tblStyle w:val="3"/>
        <w:tblW w:w="499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761"/>
        <w:gridCol w:w="1909"/>
        <w:gridCol w:w="1835"/>
        <w:gridCol w:w="1615"/>
        <w:gridCol w:w="1762"/>
        <w:gridCol w:w="1578"/>
        <w:gridCol w:w="319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42"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объекта</w:t>
            </w:r>
          </w:p>
        </w:tc>
        <w:tc>
          <w:tcPr>
            <w:tcW w:w="651"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Норматив</w:t>
            </w:r>
          </w:p>
        </w:tc>
        <w:tc>
          <w:tcPr>
            <w:tcW w:w="1778" w:type="pct"/>
            <w:gridSpan w:val="3"/>
            <w:shd w:val="clear" w:color="auto" w:fill="auto"/>
          </w:tcPr>
          <w:p>
            <w:pPr>
              <w:pStyle w:val="14"/>
              <w:rPr>
                <w:rFonts w:hint="default" w:ascii="Gotham Pro" w:hAnsi="Gotham Pro" w:cs="Gotham Pro"/>
                <w:sz w:val="20"/>
                <w:szCs w:val="20"/>
              </w:rPr>
            </w:pPr>
            <w:r>
              <w:rPr>
                <w:rFonts w:hint="default" w:ascii="Gotham Pro" w:hAnsi="Gotham Pro" w:cs="Gotham Pro"/>
                <w:sz w:val="20"/>
                <w:szCs w:val="20"/>
              </w:rPr>
              <w:t>Обеспеченность</w:t>
            </w:r>
          </w:p>
        </w:tc>
        <w:tc>
          <w:tcPr>
            <w:tcW w:w="538"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Дополните</w:t>
            </w:r>
            <w:r>
              <w:rPr>
                <w:rFonts w:hint="default" w:ascii="Gotham Pro" w:hAnsi="Gotham Pro" w:cs="Gotham Pro"/>
                <w:sz w:val="20"/>
                <w:szCs w:val="20"/>
                <w:lang w:val="ru-RU"/>
              </w:rPr>
              <w:t>-</w:t>
            </w:r>
            <w:r>
              <w:rPr>
                <w:rFonts w:hint="default" w:ascii="Gotham Pro" w:hAnsi="Gotham Pro" w:cs="Gotham Pro"/>
                <w:sz w:val="20"/>
                <w:szCs w:val="20"/>
              </w:rPr>
              <w:t xml:space="preserve">льная потребность </w:t>
            </w:r>
          </w:p>
        </w:tc>
        <w:tc>
          <w:tcPr>
            <w:tcW w:w="1089"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Рекомендации, планируемые мероприятия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42" w:type="pct"/>
            <w:vMerge w:val="continue"/>
            <w:shd w:val="clear" w:color="auto" w:fill="auto"/>
          </w:tcPr>
          <w:p>
            <w:pPr>
              <w:pStyle w:val="14"/>
              <w:rPr>
                <w:sz w:val="22"/>
                <w:szCs w:val="22"/>
              </w:rPr>
            </w:pPr>
          </w:p>
        </w:tc>
        <w:tc>
          <w:tcPr>
            <w:tcW w:w="651" w:type="pct"/>
            <w:vMerge w:val="continue"/>
            <w:shd w:val="clear" w:color="auto" w:fill="auto"/>
          </w:tcPr>
          <w:p>
            <w:pPr>
              <w:pStyle w:val="14"/>
              <w:rPr>
                <w:sz w:val="22"/>
                <w:szCs w:val="22"/>
              </w:rPr>
            </w:pPr>
          </w:p>
        </w:tc>
        <w:tc>
          <w:tcPr>
            <w:tcW w:w="626"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Факт на 2023 г.</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(6697 чел.)</w:t>
            </w:r>
          </w:p>
        </w:tc>
        <w:tc>
          <w:tcPr>
            <w:tcW w:w="551"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xml:space="preserve">на </w:t>
            </w:r>
          </w:p>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1 очередь</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(6355 чел.)</w:t>
            </w:r>
          </w:p>
        </w:tc>
        <w:tc>
          <w:tcPr>
            <w:tcW w:w="601"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на расчетный срок</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 (6665 чел.)</w:t>
            </w:r>
          </w:p>
        </w:tc>
        <w:tc>
          <w:tcPr>
            <w:tcW w:w="538" w:type="pct"/>
            <w:vMerge w:val="continue"/>
            <w:shd w:val="clear" w:color="auto" w:fill="auto"/>
          </w:tcPr>
          <w:p>
            <w:pPr>
              <w:pStyle w:val="14"/>
              <w:rPr>
                <w:sz w:val="22"/>
                <w:szCs w:val="22"/>
              </w:rPr>
            </w:pPr>
          </w:p>
        </w:tc>
        <w:tc>
          <w:tcPr>
            <w:tcW w:w="1089" w:type="pct"/>
            <w:vMerge w:val="continue"/>
            <w:shd w:val="clear" w:color="auto" w:fill="auto"/>
          </w:tcPr>
          <w:p>
            <w:pPr>
              <w:pStyle w:val="14"/>
              <w:rPr>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942" w:type="pct"/>
            <w:shd w:val="clear" w:color="auto" w:fill="auto"/>
          </w:tcPr>
          <w:p>
            <w:pPr>
              <w:pStyle w:val="14"/>
              <w:ind w:left="0" w:leftChars="0" w:firstLine="0" w:firstLineChars="0"/>
              <w:jc w:val="center"/>
              <w:rPr>
                <w:sz w:val="22"/>
                <w:szCs w:val="22"/>
              </w:rPr>
            </w:pPr>
            <w:r>
              <w:rPr>
                <w:sz w:val="22"/>
                <w:szCs w:val="22"/>
              </w:rPr>
              <w:t>1</w:t>
            </w:r>
          </w:p>
        </w:tc>
        <w:tc>
          <w:tcPr>
            <w:tcW w:w="651" w:type="pct"/>
            <w:shd w:val="clear" w:color="auto" w:fill="auto"/>
          </w:tcPr>
          <w:p>
            <w:pPr>
              <w:pStyle w:val="14"/>
              <w:ind w:left="0" w:leftChars="0" w:firstLine="0" w:firstLineChars="0"/>
              <w:jc w:val="center"/>
              <w:rPr>
                <w:sz w:val="22"/>
                <w:szCs w:val="22"/>
              </w:rPr>
            </w:pPr>
            <w:r>
              <w:rPr>
                <w:sz w:val="22"/>
                <w:szCs w:val="22"/>
              </w:rPr>
              <w:t>2</w:t>
            </w:r>
          </w:p>
        </w:tc>
        <w:tc>
          <w:tcPr>
            <w:tcW w:w="626" w:type="pct"/>
            <w:shd w:val="clear" w:color="auto" w:fill="auto"/>
          </w:tcPr>
          <w:p>
            <w:pPr>
              <w:pStyle w:val="14"/>
              <w:ind w:left="0" w:leftChars="0" w:firstLine="0" w:firstLineChars="0"/>
              <w:jc w:val="center"/>
              <w:rPr>
                <w:sz w:val="22"/>
                <w:szCs w:val="22"/>
              </w:rPr>
            </w:pPr>
            <w:r>
              <w:rPr>
                <w:sz w:val="22"/>
                <w:szCs w:val="22"/>
              </w:rPr>
              <w:t>3</w:t>
            </w:r>
          </w:p>
        </w:tc>
        <w:tc>
          <w:tcPr>
            <w:tcW w:w="551" w:type="pct"/>
            <w:shd w:val="clear" w:color="auto" w:fill="auto"/>
          </w:tcPr>
          <w:p>
            <w:pPr>
              <w:pStyle w:val="14"/>
              <w:ind w:left="0" w:leftChars="0" w:firstLine="0" w:firstLineChars="0"/>
              <w:jc w:val="center"/>
              <w:rPr>
                <w:sz w:val="22"/>
                <w:szCs w:val="22"/>
              </w:rPr>
            </w:pPr>
            <w:r>
              <w:rPr>
                <w:sz w:val="22"/>
                <w:szCs w:val="22"/>
              </w:rPr>
              <w:t>4</w:t>
            </w:r>
          </w:p>
        </w:tc>
        <w:tc>
          <w:tcPr>
            <w:tcW w:w="601" w:type="pct"/>
            <w:shd w:val="clear" w:color="auto" w:fill="auto"/>
          </w:tcPr>
          <w:p>
            <w:pPr>
              <w:pStyle w:val="14"/>
              <w:ind w:left="0" w:leftChars="0" w:firstLine="0" w:firstLineChars="0"/>
              <w:jc w:val="center"/>
              <w:rPr>
                <w:sz w:val="22"/>
                <w:szCs w:val="22"/>
              </w:rPr>
            </w:pPr>
            <w:r>
              <w:rPr>
                <w:sz w:val="22"/>
                <w:szCs w:val="22"/>
              </w:rPr>
              <w:t>5</w:t>
            </w:r>
          </w:p>
        </w:tc>
        <w:tc>
          <w:tcPr>
            <w:tcW w:w="538" w:type="pct"/>
            <w:shd w:val="clear" w:color="auto" w:fill="auto"/>
          </w:tcPr>
          <w:p>
            <w:pPr>
              <w:pStyle w:val="14"/>
              <w:ind w:left="0" w:leftChars="0" w:firstLine="0" w:firstLineChars="0"/>
              <w:jc w:val="center"/>
              <w:rPr>
                <w:sz w:val="22"/>
                <w:szCs w:val="22"/>
              </w:rPr>
            </w:pPr>
            <w:r>
              <w:rPr>
                <w:sz w:val="22"/>
                <w:szCs w:val="22"/>
              </w:rPr>
              <w:t>6</w:t>
            </w:r>
          </w:p>
        </w:tc>
        <w:tc>
          <w:tcPr>
            <w:tcW w:w="1089" w:type="pct"/>
            <w:shd w:val="clear" w:color="auto" w:fill="auto"/>
          </w:tcPr>
          <w:p>
            <w:pPr>
              <w:pStyle w:val="14"/>
              <w:ind w:left="0" w:leftChars="0" w:firstLine="0" w:firstLineChars="0"/>
              <w:jc w:val="center"/>
              <w:rPr>
                <w:sz w:val="22"/>
                <w:szCs w:val="22"/>
              </w:rPr>
            </w:pPr>
            <w:r>
              <w:rPr>
                <w:sz w:val="22"/>
                <w:szCs w:val="22"/>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7"/>
            <w:shd w:val="clear" w:color="auto" w:fill="auto"/>
          </w:tcPr>
          <w:p>
            <w:pPr>
              <w:pStyle w:val="14"/>
              <w:rPr>
                <w:sz w:val="22"/>
                <w:szCs w:val="22"/>
              </w:rPr>
            </w:pPr>
            <w:r>
              <w:rPr>
                <w:rFonts w:hint="default" w:ascii="Gotham Pro" w:hAnsi="Gotham Pro" w:cs="Gotham Pro"/>
                <w:b/>
                <w:bCs/>
                <w:sz w:val="20"/>
                <w:szCs w:val="20"/>
              </w:rPr>
              <w:t>Образование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Дошкольные учреждения</w:t>
            </w:r>
          </w:p>
        </w:tc>
        <w:tc>
          <w:tcPr>
            <w:tcW w:w="651"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 xml:space="preserve">59 мест </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 1 тыс. чел.</w:t>
            </w:r>
          </w:p>
        </w:tc>
        <w:tc>
          <w:tcPr>
            <w:tcW w:w="626"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413 мест</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Общеобразовательные учреждения</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132 мест на 1 тыс. чел.</w:t>
            </w:r>
          </w:p>
        </w:tc>
        <w:tc>
          <w:tcPr>
            <w:tcW w:w="626"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1074 мест</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7"/>
            <w:shd w:val="clear" w:color="auto" w:fill="auto"/>
          </w:tcPr>
          <w:p>
            <w:pPr>
              <w:pStyle w:val="14"/>
              <w:rPr>
                <w:sz w:val="22"/>
                <w:szCs w:val="22"/>
              </w:rPr>
            </w:pPr>
            <w:r>
              <w:rPr>
                <w:rFonts w:hint="default" w:ascii="Gotham Pro" w:hAnsi="Gotham Pro" w:cs="Gotham Pro"/>
                <w:b/>
                <w:sz w:val="20"/>
                <w:szCs w:val="20"/>
              </w:rPr>
              <w:t>Физическая культура и спорт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Спортивные залы</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73 м</w:t>
            </w:r>
            <w:r>
              <w:rPr>
                <w:rFonts w:hint="default" w:ascii="Gotham Pro" w:hAnsi="Gotham Pro" w:cs="Gotham Pro"/>
                <w:sz w:val="20"/>
                <w:szCs w:val="20"/>
                <w:vertAlign w:val="superscript"/>
              </w:rPr>
              <w:t>2</w:t>
            </w:r>
            <w:r>
              <w:rPr>
                <w:rFonts w:hint="default" w:ascii="Gotham Pro" w:hAnsi="Gotham Pro" w:cs="Gotham Pro"/>
                <w:sz w:val="20"/>
                <w:szCs w:val="20"/>
              </w:rPr>
              <w:t xml:space="preserve"> на 1 тыс. чел.</w:t>
            </w:r>
          </w:p>
        </w:tc>
        <w:tc>
          <w:tcPr>
            <w:tcW w:w="626" w:type="pct"/>
            <w:shd w:val="clear" w:color="auto" w:fill="auto"/>
            <w:vAlign w:val="top"/>
          </w:tcPr>
          <w:p>
            <w:pPr>
              <w:pStyle w:val="11"/>
              <w:spacing w:line="276" w:lineRule="auto"/>
              <w:jc w:val="center"/>
              <w:rPr>
                <w:rFonts w:hint="default" w:ascii="Gotham Pro" w:hAnsi="Gotham Pro" w:cs="Gotham Pro"/>
                <w:sz w:val="20"/>
                <w:szCs w:val="20"/>
              </w:rPr>
            </w:pPr>
            <w:r>
              <w:rPr>
                <w:rFonts w:hint="default" w:ascii="Gotham Pro" w:hAnsi="Gotham Pro" w:cs="Gotham Pro"/>
                <w:sz w:val="20"/>
                <w:szCs w:val="20"/>
              </w:rPr>
              <w:t>14067</w:t>
            </w:r>
          </w:p>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7"/>
            <w:shd w:val="clear" w:color="auto" w:fill="auto"/>
          </w:tcPr>
          <w:p>
            <w:pPr>
              <w:pStyle w:val="14"/>
              <w:rPr>
                <w:sz w:val="22"/>
                <w:szCs w:val="22"/>
              </w:rPr>
            </w:pPr>
            <w:r>
              <w:rPr>
                <w:rFonts w:hint="default" w:ascii="Gotham Pro" w:hAnsi="Gotham Pro" w:cs="Gotham Pro"/>
                <w:b/>
                <w:bCs/>
                <w:sz w:val="20"/>
                <w:szCs w:val="20"/>
              </w:rPr>
              <w:t>Здравоохранение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jc w:val="both"/>
              <w:rPr>
                <w:rFonts w:hint="default" w:ascii="Gotham Pro" w:hAnsi="Gotham Pro" w:cs="Gotham Pro"/>
                <w:sz w:val="20"/>
                <w:szCs w:val="20"/>
              </w:rPr>
            </w:pPr>
            <w:r>
              <w:rPr>
                <w:rFonts w:hint="default" w:ascii="Gotham Pro" w:hAnsi="Gotham Pro" w:cs="Gotham Pro"/>
                <w:sz w:val="20"/>
                <w:szCs w:val="20"/>
              </w:rPr>
              <w:t>Фельдшерско-акушерский пункт</w:t>
            </w:r>
          </w:p>
          <w:p>
            <w:pPr>
              <w:pStyle w:val="11"/>
              <w:jc w:val="both"/>
              <w:rPr>
                <w:rFonts w:hint="default" w:ascii="Gotham Pro" w:hAnsi="Gotham Pro" w:cs="Gotham Pro" w:eastAsiaTheme="minorHAnsi"/>
                <w:sz w:val="20"/>
                <w:szCs w:val="20"/>
                <w:lang w:eastAsia="en-US"/>
              </w:rPr>
            </w:pPr>
            <w:r>
              <w:rPr>
                <w:rFonts w:hint="default" w:ascii="Gotham Pro" w:hAnsi="Gotham Pro" w:cs="Gotham Pro" w:eastAsiaTheme="minorHAnsi"/>
                <w:sz w:val="20"/>
                <w:szCs w:val="20"/>
                <w:lang w:eastAsia="en-US"/>
              </w:rPr>
              <w:t>(Фельдшерско-акушерский пункт следует размещать в сельских населенных пунктах с численностью населения от 100 человек,</w:t>
            </w:r>
          </w:p>
          <w:p>
            <w:pPr>
              <w:pStyle w:val="11"/>
              <w:jc w:val="both"/>
              <w:rPr>
                <w:rFonts w:hint="default" w:ascii="Gotham Pro" w:hAnsi="Gotham Pro" w:cs="Gotham Pro" w:eastAsiaTheme="minorEastAsia"/>
                <w:sz w:val="20"/>
                <w:szCs w:val="20"/>
                <w:lang w:val="ru-RU" w:eastAsia="ru-RU" w:bidi="ar-SA"/>
              </w:rPr>
            </w:pPr>
            <w:r>
              <w:rPr>
                <w:rFonts w:hint="default" w:ascii="Gotham Pro" w:hAnsi="Gotham Pro" w:cs="Gotham Pro" w:eastAsiaTheme="minorHAnsi"/>
                <w:sz w:val="20"/>
                <w:szCs w:val="20"/>
                <w:lang w:eastAsia="en-US"/>
              </w:rPr>
              <w:t>отделенных от других населенных пунктов водными или другими преградами)</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 объект на населенный пункт с численностью 100 - 1200 чел.</w:t>
            </w:r>
          </w:p>
        </w:tc>
        <w:tc>
          <w:tcPr>
            <w:tcW w:w="62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 объекта</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Больницы</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14,1 коек на 1 тыс. чел.</w:t>
            </w:r>
          </w:p>
        </w:tc>
        <w:tc>
          <w:tcPr>
            <w:tcW w:w="62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103 коек</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7"/>
            <w:shd w:val="clear" w:color="auto" w:fill="auto"/>
          </w:tcPr>
          <w:p>
            <w:pPr>
              <w:pStyle w:val="14"/>
              <w:rPr>
                <w:sz w:val="22"/>
                <w:szCs w:val="22"/>
              </w:rPr>
            </w:pPr>
            <w:r>
              <w:rPr>
                <w:rFonts w:hint="default" w:ascii="Gotham Pro" w:hAnsi="Gotham Pro" w:cs="Gotham Pro"/>
                <w:b/>
                <w:bCs/>
                <w:sz w:val="20"/>
                <w:szCs w:val="20"/>
              </w:rPr>
              <w:t>Культура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Учреждения культурно-досугового типа (</w:t>
            </w:r>
            <w:r>
              <w:rPr>
                <w:rFonts w:hint="default" w:ascii="Gotham Pro" w:hAnsi="Gotham Pro" w:cs="Gotham Pro"/>
                <w:color w:val="000000"/>
                <w:sz w:val="20"/>
                <w:szCs w:val="20"/>
              </w:rPr>
              <w:t>для сельских населенных пунктов возможно размещение одного клубного учреждения на 500 зрительских мест на муниципальный район</w:t>
            </w:r>
            <w:r>
              <w:rPr>
                <w:rFonts w:hint="default" w:ascii="Gotham Pro" w:hAnsi="Gotham Pro" w:cs="Gotham Pro"/>
                <w:sz w:val="20"/>
                <w:szCs w:val="20"/>
              </w:rPr>
              <w:t>)</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97 мест на 1 тыс. жителей*</w:t>
            </w:r>
          </w:p>
        </w:tc>
        <w:tc>
          <w:tcPr>
            <w:tcW w:w="62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500 мест</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Муниципальные библиотеки</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 объект</w:t>
            </w:r>
          </w:p>
        </w:tc>
        <w:tc>
          <w:tcPr>
            <w:tcW w:w="62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 объекта</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942"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Музеи </w:t>
            </w:r>
          </w:p>
        </w:tc>
        <w:tc>
          <w:tcPr>
            <w:tcW w:w="6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rPr>
              <w:t>1 на 5-10 тыс. человек</w:t>
            </w:r>
          </w:p>
        </w:tc>
        <w:tc>
          <w:tcPr>
            <w:tcW w:w="626"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 объект</w:t>
            </w:r>
          </w:p>
        </w:tc>
        <w:tc>
          <w:tcPr>
            <w:tcW w:w="55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601"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100%</w:t>
            </w:r>
          </w:p>
        </w:tc>
        <w:tc>
          <w:tcPr>
            <w:tcW w:w="538"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отсутствует</w:t>
            </w:r>
          </w:p>
        </w:tc>
        <w:tc>
          <w:tcPr>
            <w:tcW w:w="1089"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капитальный ремонт, улучшение материально-технического оснащения</w:t>
            </w:r>
          </w:p>
        </w:tc>
      </w:tr>
    </w:tbl>
    <w:p>
      <w:pPr>
        <w:pStyle w:val="11"/>
        <w:spacing w:line="276" w:lineRule="auto"/>
        <w:ind w:firstLine="567"/>
        <w:jc w:val="right"/>
        <w:rPr>
          <w:rFonts w:hint="default" w:ascii="Gotham Pro" w:hAnsi="Gotham Pro" w:cs="Gotham Pro"/>
          <w:sz w:val="20"/>
          <w:szCs w:val="20"/>
        </w:rPr>
      </w:pPr>
    </w:p>
    <w:p>
      <w:pPr>
        <w:jc w:val="both"/>
        <w:rPr>
          <w:rFonts w:ascii="Times New Roman" w:hAnsi="Times New Roman" w:cs="Times New Roman"/>
          <w:sz w:val="20"/>
          <w:szCs w:val="20"/>
        </w:rPr>
      </w:pPr>
      <w:r>
        <w:rPr>
          <w:rFonts w:hint="default" w:ascii="Gotham Pro" w:hAnsi="Gotham Pro" w:cs="Gotham Pro"/>
          <w:sz w:val="20"/>
          <w:szCs w:val="20"/>
        </w:rPr>
        <w:t>&lt;*&gt; Для сельских населенных пунктов возможно размещение одного клубного учреждения на 500 зрительских мест на муниципальный район</w:t>
      </w:r>
    </w:p>
    <w:p>
      <w:pPr>
        <w:ind w:left="-13" w:leftChars="0" w:firstLine="13" w:firstLineChars="0"/>
        <w:jc w:val="both"/>
        <w:rPr>
          <w:rFonts w:ascii="Gotham Pro" w:hAnsi="Gotham Pro" w:cs="Gotham Pro"/>
          <w:lang w:eastAsia="ru-RU"/>
        </w:rPr>
        <w:sectPr>
          <w:pgSz w:w="16838" w:h="11906" w:orient="landscape"/>
          <w:pgMar w:top="1701" w:right="1134" w:bottom="567" w:left="1134" w:header="708" w:footer="709" w:gutter="0"/>
          <w:pgNumType w:fmt="decimal"/>
          <w:cols w:space="0" w:num="1"/>
          <w:rtlGutter w:val="0"/>
          <w:docGrid w:linePitch="360" w:charSpace="0"/>
        </w:sectPr>
      </w:pPr>
    </w:p>
    <w:p>
      <w:pPr>
        <w:ind w:left="-13" w:leftChars="0" w:firstLine="13" w:firstLineChars="0"/>
        <w:jc w:val="both"/>
        <w:rPr>
          <w:rFonts w:ascii="Gotham Pro" w:hAnsi="Gotham Pro" w:cs="Gotham Pro"/>
          <w:lang w:eastAsia="ru-RU"/>
        </w:rPr>
      </w:pPr>
    </w:p>
    <w:p>
      <w:pPr>
        <w:ind w:left="-13" w:leftChars="0" w:firstLine="13" w:firstLineChars="0"/>
        <w:jc w:val="both"/>
        <w:rPr>
          <w:rFonts w:ascii="Gotham Pro" w:hAnsi="Gotham Pro" w:cs="Gotham Pro"/>
          <w:lang w:eastAsia="ru-RU"/>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силу пункта 11 статьи 15 Федерального закона от 06.10.2003 № 131-ФЗ «Об общих принципах организации местного самоуправления в Российской Федерации» организация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организация предоставления дополнительного образования детей в муниципальных образовательных организациях, создание условий для осуществления присмотра и ухода за детьми, содержания детей в муниципальных образовательных организациях, а также осуществление в пределах своих полномочий мероприятий по обеспечению организации отдыха детей в каникулярное время, включая мероприятия по обеспечению безопасности их жизни и здоровья</w:t>
      </w:r>
      <w:r>
        <w:rPr>
          <w:rFonts w:hint="default" w:ascii="Gotham Pro" w:hAnsi="Gotham Pro" w:cs="Gotham Pro"/>
          <w:sz w:val="24"/>
          <w:szCs w:val="24"/>
          <w:lang w:val="ru-RU"/>
        </w:rPr>
        <w:t xml:space="preserve"> </w:t>
      </w:r>
      <w:r>
        <w:rPr>
          <w:rFonts w:hint="default" w:ascii="Gotham Pro" w:hAnsi="Gotham Pro" w:cs="Gotham Pro"/>
          <w:sz w:val="24"/>
          <w:szCs w:val="24"/>
        </w:rPr>
        <w:t>относится к вопросам местного значения муниципального района.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Ожидаемыми результатами реализации МП «Развитие образования», являются, в частности: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rPr>
      </w:pPr>
      <w:r>
        <w:rPr>
          <w:rFonts w:hint="default" w:ascii="Gotham Pro" w:hAnsi="Gotham Pro" w:cs="Gotham Pro"/>
          <w:sz w:val="24"/>
          <w:szCs w:val="24"/>
        </w:rPr>
        <w:t xml:space="preserve">- </w:t>
      </w:r>
      <w:r>
        <w:rPr>
          <w:rFonts w:hint="default" w:ascii="Gotham Pro" w:hAnsi="Gotham Pro" w:eastAsia="Times New Roman" w:cs="Gotham Pro"/>
          <w:sz w:val="24"/>
          <w:szCs w:val="24"/>
        </w:rPr>
        <w:t>повышение доступности и качества дошкольного образования;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Style w:val="18"/>
          <w:rFonts w:hint="default" w:ascii="Gotham Pro" w:hAnsi="Gotham Pro" w:cs="Gotham Pro"/>
          <w:sz w:val="24"/>
          <w:szCs w:val="24"/>
        </w:rPr>
      </w:pPr>
      <w:r>
        <w:rPr>
          <w:rFonts w:hint="default" w:ascii="Gotham Pro" w:hAnsi="Gotham Pro" w:cs="Gotham Pro"/>
          <w:sz w:val="24"/>
          <w:szCs w:val="24"/>
        </w:rPr>
        <w:t xml:space="preserve">- </w:t>
      </w:r>
      <w:r>
        <w:rPr>
          <w:rFonts w:hint="default" w:ascii="Gotham Pro" w:hAnsi="Gotham Pro" w:eastAsia="Times New Roman" w:cs="Gotham Pro"/>
          <w:sz w:val="24"/>
          <w:szCs w:val="24"/>
        </w:rPr>
        <w:t xml:space="preserve">увеличение </w:t>
      </w:r>
      <w:r>
        <w:rPr>
          <w:rStyle w:val="18"/>
          <w:rFonts w:hint="default" w:ascii="Gotham Pro" w:hAnsi="Gotham Pro" w:eastAsia="Times New Roman" w:cs="Gotham Pro"/>
          <w:sz w:val="24"/>
          <w:szCs w:val="24"/>
        </w:rPr>
        <w:t xml:space="preserve">охвата различными формами дошкольного образования  всех детей в возрасте от 3 до 7 лет;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rPr>
      </w:pPr>
      <w:r>
        <w:rPr>
          <w:rFonts w:hint="default" w:ascii="Gotham Pro" w:hAnsi="Gotham Pro" w:cs="Gotham Pro"/>
          <w:sz w:val="24"/>
          <w:szCs w:val="24"/>
        </w:rPr>
        <w:t xml:space="preserve">- </w:t>
      </w:r>
      <w:r>
        <w:rPr>
          <w:rFonts w:hint="default" w:ascii="Gotham Pro" w:hAnsi="Gotham Pro" w:eastAsia="Times New Roman" w:cs="Gotham Pro"/>
          <w:sz w:val="24"/>
          <w:szCs w:val="24"/>
        </w:rPr>
        <w:t>повышение доступности и качества общего образования в соответствии с требованиями Федерального государственного образовательного стандарта;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rPr>
      </w:pPr>
      <w:r>
        <w:rPr>
          <w:rFonts w:hint="default" w:ascii="Gotham Pro" w:hAnsi="Gotham Pro" w:cs="Gotham Pro"/>
          <w:sz w:val="24"/>
          <w:szCs w:val="24"/>
        </w:rPr>
        <w:t xml:space="preserve">- </w:t>
      </w:r>
      <w:r>
        <w:rPr>
          <w:rFonts w:hint="default" w:ascii="Gotham Pro" w:hAnsi="Gotham Pro" w:eastAsia="Times New Roman" w:cs="Gotham Pro"/>
          <w:sz w:val="24"/>
          <w:szCs w:val="24"/>
        </w:rPr>
        <w:t>создание современной системы управления организации школьного питания в образовательных организациях;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Style w:val="18"/>
          <w:rFonts w:hint="default" w:ascii="Gotham Pro" w:hAnsi="Gotham Pro" w:eastAsia="Times New Roman" w:cs="Gotham Pro"/>
          <w:sz w:val="24"/>
          <w:szCs w:val="24"/>
        </w:rPr>
      </w:pPr>
      <w:r>
        <w:rPr>
          <w:rStyle w:val="18"/>
          <w:rFonts w:hint="default" w:ascii="Gotham Pro" w:hAnsi="Gotham Pro" w:cs="Gotham Pro"/>
          <w:sz w:val="24"/>
          <w:szCs w:val="24"/>
        </w:rPr>
        <w:t xml:space="preserve">- </w:t>
      </w:r>
      <w:r>
        <w:rPr>
          <w:rStyle w:val="18"/>
          <w:rFonts w:hint="default" w:ascii="Gotham Pro" w:hAnsi="Gotham Pro" w:eastAsia="Times New Roman" w:cs="Gotham Pro"/>
          <w:sz w:val="24"/>
          <w:szCs w:val="24"/>
        </w:rPr>
        <w:t>повышение качественных услуг общего образования детям с ограниченными возможностями здоровья;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Style w:val="18"/>
          <w:rFonts w:hint="default" w:ascii="Gotham Pro" w:hAnsi="Gotham Pro" w:eastAsia="Times New Roman" w:cs="Gotham Pro"/>
          <w:sz w:val="24"/>
          <w:szCs w:val="24"/>
        </w:rPr>
      </w:pPr>
      <w:r>
        <w:rPr>
          <w:rStyle w:val="18"/>
          <w:rFonts w:hint="default" w:ascii="Gotham Pro" w:hAnsi="Gotham Pro" w:cs="Gotham Pro"/>
          <w:sz w:val="24"/>
          <w:szCs w:val="24"/>
        </w:rPr>
        <w:t xml:space="preserve">- </w:t>
      </w:r>
      <w:r>
        <w:rPr>
          <w:rStyle w:val="18"/>
          <w:rFonts w:hint="default" w:ascii="Gotham Pro" w:hAnsi="Gotham Pro" w:eastAsia="Times New Roman" w:cs="Gotham Pro"/>
          <w:sz w:val="24"/>
          <w:szCs w:val="24"/>
        </w:rPr>
        <w:t>развитие системы выявления, поддержки и развития детской одаренности, основанной на взаимодействии государственных образовательных организаций общего, дополнительного образования, организаций культуры, спорта и науки.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rPr>
      </w:pPr>
      <w:r>
        <w:rPr>
          <w:rFonts w:hint="default" w:ascii="Gotham Pro" w:hAnsi="Gotham Pro" w:cs="Gotham Pro"/>
          <w:sz w:val="24"/>
          <w:szCs w:val="24"/>
        </w:rPr>
        <w:t xml:space="preserve">- </w:t>
      </w:r>
      <w:r>
        <w:rPr>
          <w:rFonts w:hint="default" w:ascii="Gotham Pro" w:hAnsi="Gotham Pro" w:eastAsia="Times New Roman" w:cs="Gotham Pro"/>
          <w:sz w:val="24"/>
          <w:szCs w:val="24"/>
        </w:rPr>
        <w:t>обеспечение охвата детей и подростков всеми видами отдыха и оздоровления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eastAsia="Times New Roman" w:cs="Gotham Pro"/>
          <w:sz w:val="24"/>
          <w:szCs w:val="24"/>
        </w:rPr>
        <w:t>-</w:t>
      </w:r>
      <w:r>
        <w:rPr>
          <w:rFonts w:hint="default" w:ascii="Gotham Pro" w:hAnsi="Gotham Pro" w:cs="Gotham Pro"/>
          <w:sz w:val="24"/>
          <w:szCs w:val="24"/>
        </w:rPr>
        <w:t xml:space="preserve"> о</w:t>
      </w:r>
      <w:r>
        <w:rPr>
          <w:rFonts w:hint="default" w:ascii="Gotham Pro" w:hAnsi="Gotham Pro" w:eastAsia="Times New Roman" w:cs="Gotham Pro"/>
          <w:sz w:val="24"/>
          <w:szCs w:val="24"/>
        </w:rPr>
        <w:t>беспечение муниципальных  дошкольных и общеобразовательных организации педагогическими работниками</w:t>
      </w:r>
      <w:r>
        <w:rPr>
          <w:rFonts w:hint="default" w:ascii="Gotham Pro" w:hAnsi="Gotham Pro" w:cs="Gotham Pro"/>
          <w:sz w:val="24"/>
          <w:szCs w:val="24"/>
        </w:rPr>
        <w:t>.</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целях обеспечения условий для многообразной и полноценной культурной жизни населения постановлением Администрации МО СП «Сосново-Озерское» от 08.11.2022 № 53 принята МП «Культура муниципального образования «Сосново-Озерское» на 2023-2025 годы», реализация которой призвана обеспечить:</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увеличение количества организованных концертных программ и культурно-массовых мероприятий;</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-увеличение количества кружков;</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-увеличение числа населения, участвующих в культурно-досуговых мероприятиях.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Стратегией СЭР МО «Еравнинский район» в целях развития человеческого капитала предусмотрено мероприятие по созданию условий для развития массового художественного творчества и культурно-досуговой деятельности, в том числе строительство многофункционального культурного центра (МФКЦ).</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2.6. Развитие экономики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2.6.1. Развитие малого и среднего предпринимательства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Стратегией СЭР МО «Еравнинский район» установлено, что уровень развития конкуренции и предпринимательской активности в Еравнинском районе остается невысоким. Вместе с тем, предпринимательский сектор остается основным ресурсом социально-экономического развития территории, особенно на местном уровне.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соответствии со Стратегией СЭР МО «Еравнинский район» целью в области развития малого и среднего предпринимательства является создание благоприятных условий для ведения бизнеса как основного фактора обеспечения занятости и повышения реального благосостояния населения, формирование активного среднего класса, увеличение удельного веса малого бизнеса в экономике района, создание условий для дальнейшего роста субъектов малого предпринимательства.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Для достижения поставленной цели предлагается решение следующих задач:</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увеличение объема отгруженных товаров собственного производства средними и малыми предприятиями;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уменьшение количества нарушений антимонопольного законодательства;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повышение качества государственного регулирования в сфере малого и среднего предпринимательства;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-стимулирование развития предпринимательской деятельности в муниципальных образованиях в Республике Бурятия;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cs="Gotham Pro"/>
          <w:sz w:val="24"/>
          <w:szCs w:val="24"/>
        </w:rPr>
        <w:t>- укрепление кадрового и предпринимательского потенциала;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 минимизация административных барьеров  при реализации инвестиционных проектов, оказание комплексной системной административной поддержки.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 повышение доступности земельных ресурсов  малому и среднему бизнесу для реализации инвестиционных проектов;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 создание и предоставление субъектам предпринимательства инвестиционных площадок для строительства промышленных объектов, объектов придорожного сервиса, предприятий по оказанию  комплекса бытовых услуг и обеспечение их необходимыми объектами инженерной и транспортной  инфраструктуры;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Batang" w:cs="Gotham Pro"/>
          <w:color w:val="000000"/>
          <w:sz w:val="24"/>
          <w:szCs w:val="24"/>
        </w:rPr>
      </w:pPr>
      <w:r>
        <w:rPr>
          <w:rFonts w:hint="default" w:ascii="Gotham Pro" w:hAnsi="Gotham Pro" w:cs="Gotham Pro"/>
          <w:color w:val="000000"/>
          <w:sz w:val="24"/>
          <w:szCs w:val="24"/>
        </w:rPr>
        <w:t>- обеспечение инвесторов доступной инфраструктурой, необходимой для осуществления инвестиционных проектов;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eastAsia="Batang" w:cs="Gotham Pro"/>
          <w:color w:val="000000"/>
          <w:sz w:val="24"/>
          <w:szCs w:val="24"/>
        </w:rPr>
        <w:t>- совершенствование системы льгот и механизмов финансовой муниципальной  поддержки инвестиционной деятельности;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Style w:val="19"/>
          <w:rFonts w:hint="default" w:ascii="Gotham Pro" w:hAnsi="Gotham Pro" w:cs="Gotham Pro"/>
          <w:color w:val="000000"/>
          <w:sz w:val="24"/>
          <w:szCs w:val="24"/>
        </w:rPr>
      </w:pPr>
      <w:r>
        <w:rPr>
          <w:rFonts w:hint="default" w:ascii="Gotham Pro" w:hAnsi="Gotham Pro" w:cs="Gotham Pro"/>
          <w:color w:val="000000"/>
          <w:sz w:val="24"/>
          <w:szCs w:val="24"/>
        </w:rPr>
        <w:t>-создание коммуникационной платформы для успешного продвижения и реализации инвестиционных проектов;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Style w:val="19"/>
          <w:rFonts w:hint="default" w:ascii="Gotham Pro" w:hAnsi="Gotham Pro" w:cs="Gotham Pro"/>
          <w:color w:val="000000"/>
          <w:sz w:val="24"/>
          <w:szCs w:val="24"/>
        </w:rPr>
        <w:t xml:space="preserve">- наличие в достаточном количестве подготовленных кадров для взаимодействия с инвесторами, осуществления инвестиционных проектов и развития бизнес - среды.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 стимулирование кооперации между крупным, средним и малым бизнесом.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color w:val="000000"/>
          <w:sz w:val="24"/>
          <w:szCs w:val="24"/>
        </w:rPr>
      </w:pPr>
      <w:r>
        <w:rPr>
          <w:rFonts w:hint="default" w:ascii="Gotham Pro" w:hAnsi="Gotham Pro" w:cs="Gotham Pro"/>
          <w:color w:val="000000"/>
          <w:sz w:val="24"/>
          <w:szCs w:val="24"/>
        </w:rPr>
        <w:t>- реализация муниципальных программ поддержки и развития малого и среднего предпринимательства.  Развитие и  внедрение  более эффективных    видов  финансовой, имущественной  поддержки малого предпринимательства;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color w:val="000000"/>
          <w:sz w:val="24"/>
          <w:szCs w:val="24"/>
        </w:rPr>
        <w:t>- содействие развитию системы профессиональной подготовки и переподготовки кадров для инновационного предпринимательства.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shd w:val="clear" w:color="auto" w:fill="FFFFFF"/>
        </w:rPr>
      </w:pPr>
      <w:r>
        <w:rPr>
          <w:rFonts w:hint="default" w:ascii="Gotham Pro" w:hAnsi="Gotham Pro" w:cs="Gotham Pro"/>
          <w:bCs/>
          <w:color w:val="444444"/>
          <w:sz w:val="24"/>
          <w:szCs w:val="24"/>
          <w:shd w:val="clear" w:color="auto" w:fill="FFFFFF"/>
        </w:rPr>
        <w:t>В соответствии с Правилами установления субъектами Российской Федерации нормативов минимальной обеспеченности населения площадью торговых объектов,</w:t>
      </w:r>
      <w:r>
        <w:rPr>
          <w:rFonts w:hint="default" w:ascii="Gotham Pro" w:hAnsi="Gotham Pro" w:eastAsia="Times New Roman" w:cs="Gotham Pro"/>
          <w:sz w:val="24"/>
          <w:szCs w:val="24"/>
        </w:rPr>
        <w:t xml:space="preserve"> утвержденных постановлением Правительства РФ от 09.04.2016 № 291, п</w:t>
      </w:r>
      <w:r>
        <w:rPr>
          <w:rFonts w:hint="default" w:ascii="Gotham Pro" w:hAnsi="Gotham Pro" w:cs="Gotham Pro"/>
          <w:sz w:val="24"/>
          <w:szCs w:val="24"/>
          <w:shd w:val="clear" w:color="auto" w:fill="FFFFFF"/>
        </w:rPr>
        <w:t>риказом Министерства промышленности и торговли РБ от 03.11.2016 № 89 утверждены: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shd w:val="clear" w:color="auto" w:fill="FFFFFF"/>
        </w:rPr>
        <w:t xml:space="preserve">- </w:t>
      </w:r>
      <w:r>
        <w:rPr>
          <w:rFonts w:hint="default" w:ascii="Gotham Pro" w:hAnsi="Gotham Pro" w:cs="Gotham Pro"/>
          <w:sz w:val="24"/>
          <w:szCs w:val="24"/>
        </w:rPr>
        <w:t>Нормативы минимальной обеспеченности населения в муниципальных районах и городских округах в Республике Бурятия площадью стационарных торговых объектов (таблица 2.6.1.-1);</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Норматив минимальной обеспеченности населения в муниципальных районах и городских округах в Республике Бурятия площадью торговых объектов местного значения (таблица 2.6.1.-2).</w:t>
      </w: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Нормативы минимальной обеспеченности населения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в Еравнинском районе площадью стационарных торговых объектов</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2.6.1.-1</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53"/>
        <w:gridCol w:w="2384"/>
        <w:gridCol w:w="2494"/>
        <w:gridCol w:w="251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Наименование района</w:t>
            </w:r>
          </w:p>
        </w:tc>
        <w:tc>
          <w:tcPr>
            <w:tcW w:w="2384" w:type="dxa"/>
          </w:tcPr>
          <w:p>
            <w:pPr>
              <w:pStyle w:val="11"/>
              <w:widowControl w:val="0"/>
              <w:jc w:val="center"/>
              <w:rPr>
                <w:rFonts w:hint="default" w:ascii="Gotham Pro" w:hAnsi="Gotham Pro" w:cs="Gotham Pro"/>
                <w:color w:val="444444"/>
                <w:sz w:val="20"/>
                <w:szCs w:val="20"/>
              </w:rPr>
            </w:pPr>
            <w:r>
              <w:rPr>
                <w:rFonts w:hint="default" w:ascii="Gotham Pro" w:hAnsi="Gotham Pro" w:cs="Gotham Pro"/>
                <w:color w:val="444444"/>
                <w:sz w:val="20"/>
                <w:szCs w:val="20"/>
              </w:rPr>
              <w:t>Норматив по продаже продовольственных товаров,</w:t>
            </w:r>
          </w:p>
          <w:p>
            <w:pPr>
              <w:pStyle w:val="11"/>
              <w:widowControl w:val="0"/>
              <w:jc w:val="center"/>
              <w:rPr>
                <w:rFonts w:hint="default" w:ascii="Gotham Pro" w:hAnsi="Gotham Pro" w:cs="Gotham Pro"/>
                <w:color w:val="444444"/>
                <w:sz w:val="20"/>
                <w:szCs w:val="20"/>
              </w:rPr>
            </w:pPr>
            <w:r>
              <w:rPr>
                <w:rFonts w:hint="default" w:ascii="Gotham Pro" w:hAnsi="Gotham Pro" w:cs="Gotham Pro"/>
                <w:color w:val="444444"/>
                <w:sz w:val="20"/>
                <w:szCs w:val="20"/>
              </w:rPr>
              <w:t xml:space="preserve"> кв. м на 1000 чел.</w:t>
            </w:r>
          </w:p>
        </w:tc>
        <w:tc>
          <w:tcPr>
            <w:tcW w:w="2494" w:type="dxa"/>
          </w:tcPr>
          <w:p>
            <w:pPr>
              <w:pStyle w:val="11"/>
              <w:widowControl w:val="0"/>
              <w:jc w:val="center"/>
              <w:rPr>
                <w:rFonts w:hint="default" w:ascii="Gotham Pro" w:hAnsi="Gotham Pro" w:cs="Gotham Pro"/>
                <w:color w:val="444444"/>
                <w:sz w:val="20"/>
                <w:szCs w:val="20"/>
              </w:rPr>
            </w:pPr>
            <w:r>
              <w:rPr>
                <w:rFonts w:hint="default" w:ascii="Gotham Pro" w:hAnsi="Gotham Pro" w:cs="Gotham Pro"/>
                <w:color w:val="444444"/>
                <w:sz w:val="20"/>
                <w:szCs w:val="20"/>
              </w:rPr>
              <w:t xml:space="preserve">Норматив по продаже непродовольственных товаров, </w:t>
            </w:r>
          </w:p>
          <w:p>
            <w:pPr>
              <w:pStyle w:val="11"/>
              <w:widowControl w:val="0"/>
              <w:jc w:val="center"/>
              <w:rPr>
                <w:rFonts w:hint="default" w:ascii="Gotham Pro" w:hAnsi="Gotham Pro" w:cs="Gotham Pro"/>
                <w:color w:val="444444"/>
                <w:sz w:val="20"/>
                <w:szCs w:val="20"/>
              </w:rPr>
            </w:pPr>
            <w:r>
              <w:rPr>
                <w:rFonts w:hint="default" w:ascii="Gotham Pro" w:hAnsi="Gotham Pro" w:cs="Gotham Pro"/>
                <w:color w:val="444444"/>
                <w:sz w:val="20"/>
                <w:szCs w:val="20"/>
              </w:rPr>
              <w:t>кв. м на 1000 чел.</w:t>
            </w:r>
          </w:p>
        </w:tc>
        <w:tc>
          <w:tcPr>
            <w:tcW w:w="2516" w:type="dxa"/>
          </w:tcPr>
          <w:p>
            <w:pPr>
              <w:pStyle w:val="11"/>
              <w:widowControl w:val="0"/>
              <w:jc w:val="center"/>
              <w:rPr>
                <w:rFonts w:hint="default" w:ascii="Gotham Pro" w:hAnsi="Gotham Pro" w:cs="Gotham Pro"/>
                <w:color w:val="444444"/>
                <w:sz w:val="20"/>
                <w:szCs w:val="20"/>
              </w:rPr>
            </w:pPr>
            <w:r>
              <w:rPr>
                <w:rFonts w:hint="default" w:ascii="Gotham Pro" w:hAnsi="Gotham Pro" w:cs="Gotham Pro"/>
                <w:color w:val="444444"/>
                <w:sz w:val="20"/>
                <w:szCs w:val="20"/>
              </w:rPr>
              <w:t xml:space="preserve">Суммарный норматив, </w:t>
            </w:r>
          </w:p>
          <w:p>
            <w:pPr>
              <w:pStyle w:val="11"/>
              <w:widowControl w:val="0"/>
              <w:jc w:val="center"/>
              <w:rPr>
                <w:rFonts w:hint="default" w:ascii="Gotham Pro" w:hAnsi="Gotham Pro" w:cs="Gotham Pro"/>
                <w:color w:val="444444"/>
                <w:sz w:val="20"/>
                <w:szCs w:val="20"/>
              </w:rPr>
            </w:pPr>
            <w:r>
              <w:rPr>
                <w:rFonts w:hint="default" w:ascii="Gotham Pro" w:hAnsi="Gotham Pro" w:cs="Gotham Pro"/>
                <w:color w:val="444444"/>
                <w:sz w:val="20"/>
                <w:szCs w:val="20"/>
              </w:rPr>
              <w:t>кв. м на 1000 чел.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pStyle w:val="11"/>
              <w:widowControl w:val="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2384" w:type="dxa"/>
          </w:tcPr>
          <w:p>
            <w:pPr>
              <w:pStyle w:val="11"/>
              <w:widowControl w:val="0"/>
              <w:jc w:val="center"/>
              <w:rPr>
                <w:rFonts w:hint="default" w:ascii="Gotham Pro" w:hAnsi="Gotham Pro" w:cs="Gotham Pro"/>
                <w:color w:val="444444"/>
                <w:sz w:val="20"/>
                <w:szCs w:val="20"/>
                <w:lang w:val="ru-RU"/>
              </w:rPr>
            </w:pPr>
            <w:r>
              <w:rPr>
                <w:rFonts w:hint="default" w:ascii="Gotham Pro" w:hAnsi="Gotham Pro" w:cs="Gotham Pro"/>
                <w:color w:val="444444"/>
                <w:sz w:val="20"/>
                <w:szCs w:val="20"/>
                <w:lang w:val="ru-RU"/>
              </w:rPr>
              <w:t>2</w:t>
            </w:r>
          </w:p>
        </w:tc>
        <w:tc>
          <w:tcPr>
            <w:tcW w:w="2494" w:type="dxa"/>
          </w:tcPr>
          <w:p>
            <w:pPr>
              <w:pStyle w:val="11"/>
              <w:widowControl w:val="0"/>
              <w:jc w:val="center"/>
              <w:rPr>
                <w:rFonts w:hint="default" w:ascii="Gotham Pro" w:hAnsi="Gotham Pro" w:cs="Gotham Pro"/>
                <w:color w:val="444444"/>
                <w:sz w:val="20"/>
                <w:szCs w:val="20"/>
                <w:lang w:val="ru-RU"/>
              </w:rPr>
            </w:pPr>
            <w:r>
              <w:rPr>
                <w:rFonts w:hint="default" w:ascii="Gotham Pro" w:hAnsi="Gotham Pro" w:cs="Gotham Pro"/>
                <w:color w:val="444444"/>
                <w:sz w:val="20"/>
                <w:szCs w:val="20"/>
                <w:lang w:val="ru-RU"/>
              </w:rPr>
              <w:t>3</w:t>
            </w:r>
          </w:p>
        </w:tc>
        <w:tc>
          <w:tcPr>
            <w:tcW w:w="2516" w:type="dxa"/>
          </w:tcPr>
          <w:p>
            <w:pPr>
              <w:pStyle w:val="11"/>
              <w:widowControl w:val="0"/>
              <w:jc w:val="center"/>
              <w:rPr>
                <w:rFonts w:hint="default" w:ascii="Gotham Pro" w:hAnsi="Gotham Pro" w:cs="Gotham Pro"/>
                <w:color w:val="444444"/>
                <w:sz w:val="20"/>
                <w:szCs w:val="20"/>
                <w:lang w:val="ru-RU"/>
              </w:rPr>
            </w:pPr>
            <w:r>
              <w:rPr>
                <w:rFonts w:hint="default" w:ascii="Gotham Pro" w:hAnsi="Gotham Pro" w:cs="Gotham Pro"/>
                <w:color w:val="444444"/>
                <w:sz w:val="20"/>
                <w:szCs w:val="20"/>
                <w:lang w:val="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3" w:type="dxa"/>
          </w:tcPr>
          <w:p>
            <w:pPr>
              <w:pStyle w:val="11"/>
              <w:widowControl w:val="0"/>
              <w:jc w:val="both"/>
              <w:rPr>
                <w:rFonts w:hint="default" w:ascii="Gotham Pro" w:hAnsi="Gotham Pro" w:cs="Gotham Pro"/>
                <w:sz w:val="20"/>
                <w:szCs w:val="20"/>
              </w:rPr>
            </w:pPr>
            <w:r>
              <w:rPr>
                <w:rFonts w:hint="default" w:ascii="Gotham Pro" w:hAnsi="Gotham Pro" w:cs="Gotham Pro"/>
                <w:sz w:val="20"/>
                <w:szCs w:val="20"/>
              </w:rPr>
              <w:t>Еравнинский</w:t>
            </w:r>
          </w:p>
        </w:tc>
        <w:tc>
          <w:tcPr>
            <w:tcW w:w="2384"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153</w:t>
            </w:r>
          </w:p>
        </w:tc>
        <w:tc>
          <w:tcPr>
            <w:tcW w:w="2494"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294</w:t>
            </w:r>
          </w:p>
        </w:tc>
        <w:tc>
          <w:tcPr>
            <w:tcW w:w="2516" w:type="dxa"/>
          </w:tcPr>
          <w:p>
            <w:pPr>
              <w:pStyle w:val="11"/>
              <w:widowControl w:val="0"/>
              <w:jc w:val="center"/>
              <w:rPr>
                <w:rFonts w:hint="default" w:ascii="Gotham Pro" w:hAnsi="Gotham Pro" w:cs="Gotham Pro"/>
                <w:sz w:val="20"/>
                <w:szCs w:val="20"/>
              </w:rPr>
            </w:pPr>
            <w:r>
              <w:rPr>
                <w:rFonts w:hint="default" w:ascii="Gotham Pro" w:hAnsi="Gotham Pro" w:cs="Gotham Pro"/>
                <w:sz w:val="20"/>
                <w:szCs w:val="20"/>
              </w:rPr>
              <w:t>447</w:t>
            </w:r>
          </w:p>
        </w:tc>
      </w:tr>
    </w:tbl>
    <w:p>
      <w:pPr>
        <w:pStyle w:val="11"/>
        <w:spacing w:line="276" w:lineRule="auto"/>
        <w:ind w:firstLine="567"/>
        <w:jc w:val="right"/>
        <w:rPr>
          <w:rFonts w:hint="default" w:ascii="Gotham Pro" w:hAnsi="Gotham Pro" w:cs="Gotham Pro"/>
          <w:sz w:val="20"/>
          <w:szCs w:val="20"/>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Норматив минимальной обеспеченности населения в сельских поселениях</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 Еравнинского района  площадью торговых объектов местного значения</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2.6.1.-2</w:t>
      </w:r>
    </w:p>
    <w:tbl>
      <w:tblPr>
        <w:tblStyle w:val="3"/>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4722"/>
        <w:gridCol w:w="49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43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Наименование муниципального образования</w:t>
            </w:r>
          </w:p>
        </w:tc>
        <w:tc>
          <w:tcPr>
            <w:tcW w:w="2564" w:type="pct"/>
            <w:shd w:val="clear" w:color="auto" w:fill="auto"/>
            <w:vAlign w:val="top"/>
          </w:tcPr>
          <w:p>
            <w:pPr>
              <w:pStyle w:val="11"/>
              <w:jc w:val="center"/>
              <w:rPr>
                <w:rFonts w:hint="default" w:ascii="Gotham Pro" w:hAnsi="Gotham Pro" w:cs="Gotham Pro"/>
                <w:sz w:val="20"/>
                <w:szCs w:val="20"/>
              </w:rPr>
            </w:pPr>
            <w:r>
              <w:rPr>
                <w:rFonts w:hint="default" w:ascii="Gotham Pro" w:hAnsi="Gotham Pro" w:cs="Gotham Pro"/>
                <w:sz w:val="20"/>
                <w:szCs w:val="20"/>
              </w:rPr>
              <w:t>Количество торговых объектов</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 местного значения &lt;*&gt;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243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2564"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«Гундинское»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«Исингинское»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«Комсомольское»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«Кондинское»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«Озерное»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b/>
                <w:sz w:val="20"/>
                <w:szCs w:val="20"/>
                <w:lang w:val="ru-RU" w:eastAsia="ru-RU" w:bidi="ar-SA"/>
              </w:rPr>
            </w:pPr>
            <w:r>
              <w:rPr>
                <w:rFonts w:hint="default" w:ascii="Gotham Pro" w:hAnsi="Gotham Pro" w:cs="Gotham Pro"/>
                <w:b/>
                <w:sz w:val="20"/>
                <w:szCs w:val="20"/>
              </w:rPr>
              <w:t>МО СП «Сосново-Озерское»</w:t>
            </w:r>
          </w:p>
        </w:tc>
        <w:tc>
          <w:tcPr>
            <w:tcW w:w="2564" w:type="pct"/>
            <w:shd w:val="clear" w:color="auto" w:fill="auto"/>
            <w:vAlign w:val="top"/>
          </w:tcPr>
          <w:p>
            <w:pPr>
              <w:pStyle w:val="11"/>
              <w:jc w:val="center"/>
              <w:rPr>
                <w:rFonts w:hint="default" w:ascii="Gotham Pro" w:hAnsi="Gotham Pro" w:cs="Gotham Pro" w:eastAsiaTheme="minorEastAsia"/>
                <w:b/>
                <w:sz w:val="20"/>
                <w:szCs w:val="20"/>
                <w:lang w:val="ru-RU" w:eastAsia="ru-RU" w:bidi="ar-SA"/>
              </w:rPr>
            </w:pPr>
            <w:r>
              <w:rPr>
                <w:rFonts w:hint="default" w:ascii="Gotham Pro" w:hAnsi="Gotham Pro" w:cs="Gotham Pro"/>
                <w:b/>
                <w:sz w:val="20"/>
                <w:szCs w:val="20"/>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«Тужинское»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«Тулдунское»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«Улхасааское»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«Ульдургинское»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«Усть-Эгитуйское»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«Целинное»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«Ширингинское»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2435"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МО СП «Эгитуйское»</w:t>
            </w:r>
          </w:p>
        </w:tc>
        <w:tc>
          <w:tcPr>
            <w:tcW w:w="2564"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w:t>
            </w:r>
          </w:p>
        </w:tc>
      </w:tr>
    </w:tbl>
    <w:p>
      <w:pPr>
        <w:pStyle w:val="11"/>
        <w:spacing w:line="276" w:lineRule="auto"/>
        <w:ind w:firstLine="567"/>
        <w:jc w:val="right"/>
        <w:rPr>
          <w:rFonts w:hint="default" w:ascii="Gotham Pro" w:hAnsi="Gotham Pro" w:cs="Gotham Pro"/>
          <w:sz w:val="20"/>
          <w:szCs w:val="20"/>
        </w:rPr>
      </w:pPr>
    </w:p>
    <w:p>
      <w:pPr>
        <w:pStyle w:val="11"/>
        <w:spacing w:line="276" w:lineRule="auto"/>
        <w:jc w:val="both"/>
        <w:rPr>
          <w:rFonts w:hint="default" w:ascii="Gotham Pro" w:hAnsi="Gotham Pro" w:cs="Gotham Pro"/>
          <w:sz w:val="16"/>
          <w:szCs w:val="16"/>
          <w:shd w:val="clear" w:color="auto" w:fill="FFFFFF"/>
        </w:rPr>
      </w:pPr>
      <w:r>
        <w:rPr>
          <w:rFonts w:hint="default" w:ascii="Gotham Pro" w:hAnsi="Gotham Pro" w:cs="Gotham Pro"/>
          <w:sz w:val="16"/>
          <w:szCs w:val="16"/>
        </w:rPr>
        <w:t>*</w:t>
      </w:r>
      <w:r>
        <w:rPr>
          <w:rFonts w:hint="default" w:ascii="Gotham Pro" w:hAnsi="Gotham Pro" w:cs="Gotham Pro"/>
          <w:sz w:val="16"/>
          <w:szCs w:val="16"/>
          <w:shd w:val="clear" w:color="auto" w:fill="FFFFFF"/>
        </w:rPr>
        <w:t xml:space="preserve"> Под торговыми объектами местного значения понимаются магазины и торговые павильоны по продаже продовольственных товаров и товаров смешанного ассортимента с площадью торгового объекта до 300 кв. м включительно, кроме магазинов и торговых павильонов, размещаемых в крупных торговых центрах (комплексах).</w:t>
      </w:r>
    </w:p>
    <w:p>
      <w:pPr>
        <w:pStyle w:val="11"/>
        <w:spacing w:line="276" w:lineRule="auto"/>
        <w:jc w:val="both"/>
        <w:rPr>
          <w:rFonts w:ascii="Times New Roman" w:hAnsi="Times New Roman" w:cs="Times New Roman"/>
          <w:sz w:val="24"/>
          <w:szCs w:val="24"/>
          <w:shd w:val="clear" w:color="auto" w:fill="FFFFFF"/>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rPr>
      </w:pPr>
      <w:r>
        <w:rPr>
          <w:rFonts w:hint="default" w:ascii="Gotham Pro" w:hAnsi="Gotham Pro" w:cs="Gotham Pro"/>
          <w:sz w:val="24"/>
          <w:szCs w:val="24"/>
        </w:rPr>
        <w:t>Расчетные показатели объекты услуг общественного питания, торговли, бытового обслуживания населения и иных услуг рассчитаны в соответствии с Местными нормативами градостроительного проектирования МО СП «Сосново-Озерское».</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6"/>
          <w:szCs w:val="26"/>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Расчетные показатели объекты услуг общественного питания, торговли, бытового обслуживания населения и иных услуг в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2.6.1.-3</w:t>
      </w:r>
    </w:p>
    <w:tbl>
      <w:tblPr>
        <w:tblStyle w:val="3"/>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658"/>
        <w:gridCol w:w="1248"/>
        <w:gridCol w:w="1356"/>
        <w:gridCol w:w="1859"/>
        <w:gridCol w:w="756"/>
        <w:gridCol w:w="961"/>
        <w:gridCol w:w="1008"/>
        <w:gridCol w:w="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54"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lang w:val="ru-RU"/>
              </w:rPr>
              <w:t>Н</w:t>
            </w:r>
            <w:r>
              <w:rPr>
                <w:rFonts w:hint="default" w:ascii="Gotham Pro" w:hAnsi="Gotham Pro" w:cs="Gotham Pro"/>
                <w:sz w:val="20"/>
                <w:szCs w:val="20"/>
                <w:shd w:val="clear" w:color="auto" w:fill="FFFFFF"/>
              </w:rPr>
              <w:t>аименование объекта</w:t>
            </w:r>
          </w:p>
        </w:tc>
        <w:tc>
          <w:tcPr>
            <w:tcW w:w="1341" w:type="pct"/>
            <w:gridSpan w:val="2"/>
            <w:vMerge w:val="restar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color w:val="000000"/>
                <w:sz w:val="20"/>
                <w:szCs w:val="20"/>
              </w:rPr>
              <w:t>Минимально допустимый уровень обеспеченности</w:t>
            </w:r>
          </w:p>
        </w:tc>
        <w:tc>
          <w:tcPr>
            <w:tcW w:w="958"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color w:val="000000"/>
                <w:sz w:val="20"/>
                <w:szCs w:val="20"/>
              </w:rPr>
              <w:t>Максимально допустимый уровень территориальной доступности</w:t>
            </w:r>
          </w:p>
        </w:tc>
        <w:tc>
          <w:tcPr>
            <w:tcW w:w="1845" w:type="pct"/>
            <w:gridSpan w:val="4"/>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 xml:space="preserve">расчетная обеспеченность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54"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1341" w:type="pct"/>
            <w:gridSpan w:val="2"/>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958"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884" w:type="pct"/>
            <w:gridSpan w:val="2"/>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на 1-ую очередь</w:t>
            </w:r>
          </w:p>
        </w:tc>
        <w:tc>
          <w:tcPr>
            <w:tcW w:w="960" w:type="pct"/>
            <w:gridSpan w:val="2"/>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на расчетный срок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54"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643"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ед.изм.</w:t>
            </w:r>
          </w:p>
        </w:tc>
        <w:tc>
          <w:tcPr>
            <w:tcW w:w="698"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величина</w:t>
            </w:r>
          </w:p>
        </w:tc>
        <w:tc>
          <w:tcPr>
            <w:tcW w:w="958" w:type="pct"/>
            <w:vMerge w:val="continue"/>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p>
        </w:tc>
        <w:tc>
          <w:tcPr>
            <w:tcW w:w="389"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величина</w:t>
            </w:r>
          </w:p>
        </w:tc>
        <w:tc>
          <w:tcPr>
            <w:tcW w:w="495"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w:t>
            </w:r>
          </w:p>
        </w:tc>
        <w:tc>
          <w:tcPr>
            <w:tcW w:w="519"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величина</w:t>
            </w:r>
          </w:p>
        </w:tc>
        <w:tc>
          <w:tcPr>
            <w:tcW w:w="441" w:type="pct"/>
            <w:shd w:val="clear" w:color="auto" w:fill="auto"/>
            <w:vAlign w:val="top"/>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54"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64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69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3</w:t>
            </w:r>
          </w:p>
        </w:tc>
        <w:tc>
          <w:tcPr>
            <w:tcW w:w="958"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4</w:t>
            </w:r>
          </w:p>
        </w:tc>
        <w:tc>
          <w:tcPr>
            <w:tcW w:w="38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5</w:t>
            </w:r>
          </w:p>
        </w:tc>
        <w:tc>
          <w:tcPr>
            <w:tcW w:w="495"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6</w:t>
            </w:r>
          </w:p>
        </w:tc>
        <w:tc>
          <w:tcPr>
            <w:tcW w:w="519"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7</w:t>
            </w:r>
          </w:p>
        </w:tc>
        <w:tc>
          <w:tcPr>
            <w:tcW w:w="441"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Магазины</w:t>
            </w:r>
          </w:p>
        </w:tc>
        <w:tc>
          <w:tcPr>
            <w:tcW w:w="643"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ед.</w:t>
            </w:r>
          </w:p>
        </w:tc>
        <w:tc>
          <w:tcPr>
            <w:tcW w:w="69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 xml:space="preserve">в соответствии с приказом Минпромторга РБ  </w:t>
            </w:r>
            <w:r>
              <w:rPr>
                <w:rFonts w:hint="default" w:ascii="Gotham Pro" w:hAnsi="Gotham Pro" w:cs="Gotham Pro"/>
                <w:sz w:val="20"/>
                <w:szCs w:val="20"/>
                <w:shd w:val="clear" w:color="auto" w:fill="FFFFFF"/>
              </w:rPr>
              <w:t>от 03.11.2016 № 89</w:t>
            </w:r>
          </w:p>
        </w:tc>
        <w:tc>
          <w:tcPr>
            <w:tcW w:w="95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в сельских населенных пункт ах 1600 м</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43</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43</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Предприятия общественного питания</w:t>
            </w:r>
          </w:p>
        </w:tc>
        <w:tc>
          <w:tcPr>
            <w:tcW w:w="643"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мест на 1 тыс. чел.</w:t>
            </w:r>
          </w:p>
        </w:tc>
        <w:tc>
          <w:tcPr>
            <w:tcW w:w="69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40</w:t>
            </w:r>
          </w:p>
        </w:tc>
        <w:tc>
          <w:tcPr>
            <w:tcW w:w="95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 сельских населенных пунктах 1600 м</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256</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268</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Станции</w:t>
            </w:r>
          </w:p>
          <w:p>
            <w:pPr>
              <w:pStyle w:val="11"/>
              <w:jc w:val="center"/>
              <w:rPr>
                <w:rFonts w:hint="default" w:ascii="Gotham Pro" w:hAnsi="Gotham Pro" w:cs="Gotham Pro"/>
                <w:sz w:val="20"/>
                <w:szCs w:val="20"/>
              </w:rPr>
            </w:pPr>
            <w:r>
              <w:rPr>
                <w:rFonts w:hint="default" w:ascii="Gotham Pro" w:hAnsi="Gotham Pro" w:cs="Gotham Pro"/>
                <w:sz w:val="20"/>
                <w:szCs w:val="20"/>
              </w:rPr>
              <w:t>технического</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обслуживания</w:t>
            </w:r>
          </w:p>
        </w:tc>
        <w:tc>
          <w:tcPr>
            <w:tcW w:w="643"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пост/кол-во автомобилей</w:t>
            </w:r>
          </w:p>
        </w:tc>
        <w:tc>
          <w:tcPr>
            <w:tcW w:w="698"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 xml:space="preserve">п. 6.40 </w:t>
            </w:r>
            <w:r>
              <w:rPr>
                <w:rFonts w:hint="default" w:ascii="Gotham Pro" w:hAnsi="Gotham Pro" w:cs="Gotham Pro"/>
                <w:color w:val="000000"/>
                <w:sz w:val="20"/>
                <w:szCs w:val="20"/>
              </w:rPr>
              <w:t>СНиП 2.07.01</w:t>
            </w:r>
            <w:r>
              <w:rPr>
                <w:rFonts w:hint="default" w:ascii="Gotham Pro" w:hAnsi="Gotham Pro" w:cs="Gotham Pro"/>
                <w:color w:val="000000"/>
                <w:sz w:val="20"/>
                <w:szCs w:val="20"/>
              </w:rPr>
              <w:softHyphen/>
            </w:r>
            <w:r>
              <w:rPr>
                <w:rFonts w:hint="default" w:ascii="Gotham Pro" w:hAnsi="Gotham Pro" w:cs="Gotham Pro"/>
                <w:color w:val="000000"/>
                <w:sz w:val="20"/>
                <w:szCs w:val="20"/>
              </w:rPr>
              <w:t>89*</w:t>
            </w:r>
          </w:p>
        </w:tc>
        <w:tc>
          <w:tcPr>
            <w:tcW w:w="95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 на 200</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5</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5</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Автозаправочные станции</w:t>
            </w:r>
          </w:p>
        </w:tc>
        <w:tc>
          <w:tcPr>
            <w:tcW w:w="643" w:type="pc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колонка/</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кол-во автомобилей</w:t>
            </w:r>
          </w:p>
        </w:tc>
        <w:tc>
          <w:tcPr>
            <w:tcW w:w="698"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 xml:space="preserve">п. 6.41 </w:t>
            </w:r>
            <w:r>
              <w:rPr>
                <w:rFonts w:hint="default" w:ascii="Gotham Pro" w:hAnsi="Gotham Pro" w:cs="Gotham Pro"/>
                <w:color w:val="000000"/>
                <w:sz w:val="20"/>
                <w:szCs w:val="20"/>
              </w:rPr>
              <w:t>СНиП 2.07.01</w:t>
            </w:r>
            <w:r>
              <w:rPr>
                <w:rFonts w:hint="default" w:ascii="Gotham Pro" w:hAnsi="Gotham Pro" w:cs="Gotham Pro"/>
                <w:color w:val="000000"/>
                <w:sz w:val="20"/>
                <w:szCs w:val="20"/>
              </w:rPr>
              <w:softHyphen/>
            </w:r>
            <w:r>
              <w:rPr>
                <w:rFonts w:hint="default" w:ascii="Gotham Pro" w:hAnsi="Gotham Pro" w:cs="Gotham Pro"/>
                <w:color w:val="000000"/>
                <w:sz w:val="20"/>
                <w:szCs w:val="20"/>
              </w:rPr>
              <w:t>89*</w:t>
            </w:r>
          </w:p>
        </w:tc>
        <w:tc>
          <w:tcPr>
            <w:tcW w:w="95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 на 1200</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3</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3</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rPr>
                <w:rFonts w:hint="default" w:ascii="Gotham Pro" w:hAnsi="Gotham Pro" w:cs="Gotham Pro"/>
                <w:sz w:val="20"/>
                <w:szCs w:val="20"/>
              </w:rPr>
            </w:pPr>
            <w:r>
              <w:rPr>
                <w:rFonts w:hint="default" w:ascii="Gotham Pro" w:hAnsi="Gotham Pro" w:cs="Gotham Pro"/>
                <w:sz w:val="20"/>
                <w:szCs w:val="20"/>
              </w:rPr>
              <w:t>Предприятия</w:t>
            </w:r>
          </w:p>
          <w:p>
            <w:pPr>
              <w:pStyle w:val="11"/>
              <w:rPr>
                <w:rFonts w:hint="default" w:ascii="Gotham Pro" w:hAnsi="Gotham Pro" w:cs="Gotham Pro"/>
                <w:sz w:val="20"/>
                <w:szCs w:val="20"/>
              </w:rPr>
            </w:pPr>
            <w:r>
              <w:rPr>
                <w:rFonts w:hint="default" w:ascii="Gotham Pro" w:hAnsi="Gotham Pro" w:cs="Gotham Pro"/>
                <w:sz w:val="20"/>
                <w:szCs w:val="20"/>
              </w:rPr>
              <w:t>бытового</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обслуживания</w:t>
            </w:r>
          </w:p>
        </w:tc>
        <w:tc>
          <w:tcPr>
            <w:tcW w:w="643"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рабочих мест на 1 тыс. чел.</w:t>
            </w:r>
          </w:p>
        </w:tc>
        <w:tc>
          <w:tcPr>
            <w:tcW w:w="69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7</w:t>
            </w:r>
          </w:p>
        </w:tc>
        <w:tc>
          <w:tcPr>
            <w:tcW w:w="95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 сельских населенных пунктах 1600 м</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45</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47</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Гостиницы</w:t>
            </w:r>
          </w:p>
        </w:tc>
        <w:tc>
          <w:tcPr>
            <w:tcW w:w="643" w:type="pct"/>
            <w:shd w:val="clear" w:color="auto" w:fill="auto"/>
            <w:vAlign w:val="center"/>
          </w:tcPr>
          <w:p>
            <w:pPr>
              <w:pStyle w:val="11"/>
              <w:jc w:val="center"/>
              <w:rPr>
                <w:rFonts w:hint="default" w:ascii="Gotham Pro" w:hAnsi="Gotham Pro" w:cs="Gotham Pro"/>
                <w:sz w:val="20"/>
                <w:szCs w:val="20"/>
              </w:rPr>
            </w:pPr>
            <w:r>
              <w:rPr>
                <w:rFonts w:hint="default" w:ascii="Gotham Pro" w:hAnsi="Gotham Pro" w:cs="Gotham Pro"/>
                <w:sz w:val="20"/>
                <w:szCs w:val="20"/>
              </w:rPr>
              <w:t>мест</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на 1 тыс. чел</w:t>
            </w:r>
          </w:p>
        </w:tc>
        <w:tc>
          <w:tcPr>
            <w:tcW w:w="69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w:t>
            </w:r>
          </w:p>
        </w:tc>
        <w:tc>
          <w:tcPr>
            <w:tcW w:w="95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color w:val="000000"/>
                <w:sz w:val="20"/>
                <w:szCs w:val="20"/>
              </w:rPr>
              <w:t>Не нормируется</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41</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43</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54"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Банки</w:t>
            </w:r>
          </w:p>
        </w:tc>
        <w:tc>
          <w:tcPr>
            <w:tcW w:w="643"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объект</w:t>
            </w:r>
          </w:p>
        </w:tc>
        <w:tc>
          <w:tcPr>
            <w:tcW w:w="698"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сельские населен</w:t>
            </w:r>
            <w:r>
              <w:rPr>
                <w:rFonts w:hint="default" w:ascii="Gotham Pro" w:hAnsi="Gotham Pro" w:cs="Gotham Pro"/>
                <w:sz w:val="20"/>
                <w:szCs w:val="20"/>
                <w:lang w:val="ru-RU" w:eastAsia="en-US"/>
              </w:rPr>
              <w:t>-</w:t>
            </w:r>
            <w:r>
              <w:rPr>
                <w:rFonts w:hint="default" w:ascii="Gotham Pro" w:hAnsi="Gotham Pro" w:cs="Gotham Pro"/>
                <w:sz w:val="20"/>
                <w:szCs w:val="20"/>
                <w:lang w:eastAsia="en-US"/>
              </w:rPr>
              <w:t>ные пункты: 1 на группу населенных пунктов</w:t>
            </w:r>
          </w:p>
        </w:tc>
        <w:tc>
          <w:tcPr>
            <w:tcW w:w="958" w:type="pct"/>
            <w:shd w:val="clear" w:color="auto" w:fill="auto"/>
            <w:vAlign w:val="top"/>
          </w:tcPr>
          <w:p>
            <w:pPr>
              <w:pStyle w:val="11"/>
              <w:spacing w:line="276" w:lineRule="auto"/>
              <w:jc w:val="center"/>
              <w:rPr>
                <w:rFonts w:hint="default" w:ascii="Gotham Pro" w:hAnsi="Gotham Pro" w:cs="Gotham Pro" w:eastAsiaTheme="minorEastAsia"/>
                <w:sz w:val="20"/>
                <w:szCs w:val="20"/>
                <w:highlight w:val="yellow"/>
                <w:lang w:val="ru-RU" w:eastAsia="ru-RU" w:bidi="ar-SA"/>
              </w:rPr>
            </w:pPr>
            <w:r>
              <w:rPr>
                <w:rFonts w:hint="default" w:ascii="Gotham Pro" w:hAnsi="Gotham Pro" w:cs="Gotham Pro"/>
                <w:sz w:val="20"/>
                <w:szCs w:val="20"/>
                <w:lang w:eastAsia="en-US"/>
              </w:rPr>
              <w:t>сельские населенные пункты: 15 мин транспортная доступность</w:t>
            </w:r>
          </w:p>
        </w:tc>
        <w:tc>
          <w:tcPr>
            <w:tcW w:w="38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2</w:t>
            </w:r>
          </w:p>
        </w:tc>
        <w:tc>
          <w:tcPr>
            <w:tcW w:w="495"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c>
          <w:tcPr>
            <w:tcW w:w="519"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2</w:t>
            </w:r>
          </w:p>
        </w:tc>
        <w:tc>
          <w:tcPr>
            <w:tcW w:w="441" w:type="pct"/>
            <w:shd w:val="clear" w:color="auto" w:fill="auto"/>
            <w:vAlign w:val="center"/>
          </w:tcPr>
          <w:p>
            <w:pPr>
              <w:pStyle w:val="11"/>
              <w:spacing w:line="276" w:lineRule="auto"/>
              <w:jc w:val="center"/>
              <w:rPr>
                <w:rFonts w:hint="default" w:ascii="Gotham Pro" w:hAnsi="Gotham Pro" w:cs="Gotham Pro" w:eastAsiaTheme="minorEastAsia"/>
                <w:sz w:val="20"/>
                <w:szCs w:val="20"/>
                <w:shd w:val="clear" w:color="auto" w:fill="FFFFFF"/>
                <w:lang w:val="ru-RU" w:eastAsia="ru-RU" w:bidi="ar-SA"/>
              </w:rPr>
            </w:pPr>
            <w:r>
              <w:rPr>
                <w:rFonts w:hint="default" w:ascii="Gotham Pro" w:hAnsi="Gotham Pro" w:cs="Gotham Pro"/>
                <w:sz w:val="20"/>
                <w:szCs w:val="20"/>
                <w:shd w:val="clear" w:color="auto" w:fill="FFFFFF"/>
              </w:rPr>
              <w:t>100</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Основными направлениями развития потребительского рынка является обеспечение населения поселения товарами большего ассортимента при возможных минимальных ценах. При этом, учитывая небольшое количество населения, в целях улучшения предлагаемого ассортимента товаров, вариантом развития сферы торговли и услуг является передвижная торговля и передвижное предоставление бытовых услуг.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Еравнинском районе в последние годы имеется устойчивая положительная динамика в сфере туризма. В этой связи с учетом туристского потенциала территории Еравнинского района предлагается развитие туризма в МО СП «Сосново-Озерское» в единой увязке с туристскими продуктами (туристские туры, экскурсии), реализуемыми на территории Еравнинского района.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Привлекательными являются следующие виды туристических продуктов: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эколого-просветительский туризм;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этнокультурные и религиозные экскурсии;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активный туризм (охота, рыбалка).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целях развития рекреации и туризма планируется строительство туристического комплекса в местности «Далан».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Также в целях развития малого и среднего предпринимательства предусматривается реализация инвестиционного проекта - строительство кирпичного завода в с. Укыр.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highlight w:val="none"/>
        </w:rPr>
      </w:pPr>
      <w:r>
        <w:rPr>
          <w:rFonts w:hint="default" w:ascii="Gotham Pro" w:hAnsi="Gotham Pro" w:cs="Gotham Pro"/>
          <w:sz w:val="24"/>
          <w:szCs w:val="24"/>
          <w:highlight w:val="none"/>
        </w:rPr>
        <w:t xml:space="preserve">В сфере торговли планируется строительство магазинов в с. Сосново-Озерское.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2.6.2. Сельское хозяйство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10" w:name="_Hlk131830087"/>
      <w:r>
        <w:rPr>
          <w:rFonts w:hint="default" w:ascii="Gotham Pro" w:hAnsi="Gotham Pro" w:cs="Gotham Pro"/>
          <w:sz w:val="24"/>
          <w:szCs w:val="24"/>
        </w:rPr>
        <w:t>Сельские территории Еравнинского района, в частности, МО СП «Сосново-Озерское» обладают огромным природным потенциалом для развития сельскохозяйственной отрасли, особенно, кормопроизводства и животноводства. Однако комплекс накопившихся проблем в социально-экономическом, экологическом и демографическом развитии сел препятствует его переходу к динамичному комплексному развитию. Низкая оплата труда, а также отсутствие рабочих мест при недостаточном уровне оказания социальных услуг, необеспеченность жильем создают для населения, особенно для молодежи, непривлекательность проживания в сельской местности. Кроме того, низкий уровень комфортности проживания в сельской местности влияет на миграционные настроения сельского населения, особенно молодежи.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этой связи, как отмечалось в пункте 2.2 генерального плана, ухудшается демографическая ситуация. Соответственно, сокращается источник расширенного воспроизводства трудоресурсного потенциала аграрной отрасли.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Развитие сельских территорий также сдерживается низкой бюджетной обеспеченностью сельских муниципальных образований, отсутствием системы финансовой поддержки местных инициатив.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Развитие малого предпринимательства в сельской экономике является важнейшим фактором формирования среднего класса, способом ликвидации безработицы, получения дополнительных доходов, рационализации отраслевой структуры производства и выравнивания региональных диспропорций.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r>
        <w:rPr>
          <w:rFonts w:hint="default" w:ascii="Gotham Pro" w:hAnsi="Gotham Pro" w:cs="Gotham Pro"/>
          <w:sz w:val="24"/>
          <w:szCs w:val="24"/>
        </w:rPr>
        <w:t>В целях устойчивого развития сельских территорий, повышения эффективности и  конкурентоспособности организаций агропромышленного комплекса, о</w:t>
      </w:r>
      <w:r>
        <w:rPr>
          <w:rFonts w:hint="default" w:ascii="Gotham Pro" w:hAnsi="Gotham Pro" w:cs="Gotham Pro"/>
          <w:color w:val="000000"/>
          <w:sz w:val="24"/>
          <w:szCs w:val="24"/>
        </w:rPr>
        <w:t xml:space="preserve">беспечения населения республики сельскохозяйственной продукцией и продовольствием, а организаций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color w:val="000000"/>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color w:val="000000"/>
          <w:sz w:val="24"/>
          <w:szCs w:val="24"/>
        </w:rPr>
        <w:t xml:space="preserve">пищевой и перерабатывающей промышленности – сырьем </w:t>
      </w:r>
      <w:r>
        <w:rPr>
          <w:rFonts w:hint="default" w:ascii="Gotham Pro" w:hAnsi="Gotham Pro" w:cs="Gotham Pro"/>
          <w:sz w:val="24"/>
          <w:szCs w:val="24"/>
        </w:rPr>
        <w:t>Стратегия СЭР МО «Еравнинский район» предлагается, в частности: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повышение занятости сельского населения, сокращение безработицы, увеличение доходов сельского населения и повышение качества жизни сельского населения;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создание новых животноводческих гуртов и заимок;</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w:t>
      </w:r>
      <w:r>
        <w:rPr>
          <w:rFonts w:hint="default" w:ascii="Gotham Pro" w:hAnsi="Gotham Pro" w:cs="Gotham Pro"/>
          <w:sz w:val="24"/>
          <w:szCs w:val="24"/>
        </w:rPr>
        <w:tab/>
      </w:r>
      <w:r>
        <w:rPr>
          <w:rFonts w:hint="default" w:ascii="Gotham Pro" w:hAnsi="Gotham Pro" w:cs="Gotham Pro"/>
          <w:sz w:val="24"/>
          <w:szCs w:val="24"/>
        </w:rPr>
        <w:t>стимулирование инвестиционной активности в агропромышленном комплексе путем создания благоприятных инфраструктурных условий в сельской местности и повышения уровня и качества жизни сельского населения с учетом современных требований и стандартов;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w:t>
      </w:r>
      <w:r>
        <w:rPr>
          <w:rFonts w:hint="default" w:ascii="Gotham Pro" w:hAnsi="Gotham Pro" w:cs="Gotham Pro"/>
          <w:sz w:val="24"/>
          <w:szCs w:val="24"/>
        </w:rPr>
        <w:tab/>
      </w:r>
      <w:r>
        <w:rPr>
          <w:rFonts w:hint="default" w:ascii="Gotham Pro" w:hAnsi="Gotham Pro" w:cs="Gotham Pro"/>
          <w:sz w:val="24"/>
          <w:szCs w:val="24"/>
        </w:rPr>
        <w:t>поддержка малых форм хозяйствования на селе, увеличение объемов государственной поддержки фермерства, улучшение информационной и просветительской работы среди сельских жителей  и субъектов предпринимательства.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sz w:val="24"/>
          <w:szCs w:val="24"/>
        </w:rPr>
      </w:pPr>
    </w:p>
    <w:bookmarkEnd w:id="10"/>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2.7. Развитие коммунальной инфраструктуры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2.7.1. Водоснабжение и водоотведение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Централизованное водоснабжение в МО СП «Сосново-Озерское» отсутствует во всех населенных пунктах поселения. Водоснабжение организовано от артезианских скважин и озер Сосновое, Большая Еравна. Вода населению доставляется водовозными автомашинами за плату.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shd w:val="clear" w:color="auto" w:fill="FFFFFF"/>
        </w:rPr>
        <w:t xml:space="preserve">В целях улучшения водоснабжения населения планируется реконструкция скважины и строительство водовода для нужд водоснабжения с. Сосново-Озерское. Данное мероприятие будет проводиться в рамках реализации ГП РБ «Развитие строительного и жилищно-коммунального комплексов Республики Бурятия», утвержденной </w:t>
      </w:r>
      <w:r>
        <w:rPr>
          <w:rFonts w:hint="default" w:ascii="Gotham Pro" w:hAnsi="Gotham Pro" w:cs="Gotham Pro"/>
          <w:sz w:val="24"/>
          <w:szCs w:val="24"/>
        </w:rPr>
        <w:t>постановлением Правительства РБ от 02.08.2013№ 424.</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Согласно Местным нормативам градостроительного проектирования 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 Вопросы обеспечения пожарной безопасности, требования к источникам пожарного водоснабжения, расчетные расходы воды на пожаротушение объектов, расчетное количество одновременных пожаров, минимальные свободные напоры в наружных сетях водопроводов, расстановку пожарных гидрантов на сети, категорию зданий, сооружений, строений и помещений по пожарной и взрывопожарной опасности следует принимать согласно Техническому регламенту о требованиях пожарной безопасности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(Федеральный закон от 22.07.2008г. № 123-ФЗ), СП 5.13130, СП 8.13130, СП 10.13130, а также настоящими нормативами.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Удельное хозяйственно-питьевое водопотребление объектов в населенных пунктах определяется в соответствии с СП 30.13330.2012 «СНиП 2.04.01-85* «Внутренний водопровод и канализация зданий», СП 42.13330.2016 «Градостроительство. Планировка и застройка городских и сельских поселений».</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6"/>
          <w:szCs w:val="26"/>
          <w:lang w:eastAsia="en-US"/>
        </w:rPr>
      </w:pPr>
    </w:p>
    <w:p>
      <w:pPr>
        <w:pStyle w:val="11"/>
        <w:spacing w:line="276" w:lineRule="auto"/>
        <w:ind w:firstLine="567"/>
        <w:jc w:val="center"/>
        <w:rPr>
          <w:rFonts w:hint="default" w:ascii="Gotham Pro" w:hAnsi="Gotham Pro" w:eastAsia="CIDFont+F1" w:cs="Gotham Pro"/>
          <w:sz w:val="20"/>
          <w:szCs w:val="20"/>
          <w:lang w:eastAsia="en-US"/>
        </w:rPr>
      </w:pPr>
      <w:r>
        <w:rPr>
          <w:rFonts w:hint="default" w:ascii="Gotham Pro" w:hAnsi="Gotham Pro" w:eastAsia="CIDFont+F1" w:cs="Gotham Pro"/>
          <w:sz w:val="20"/>
          <w:szCs w:val="20"/>
          <w:lang w:eastAsia="en-US"/>
        </w:rPr>
        <w:t>Расчетное водопотребление в МО СП «Сосново-Озерское»</w:t>
      </w:r>
    </w:p>
    <w:p>
      <w:pPr>
        <w:pStyle w:val="11"/>
        <w:spacing w:line="276" w:lineRule="auto"/>
        <w:ind w:firstLine="567"/>
        <w:jc w:val="right"/>
        <w:rPr>
          <w:rFonts w:hint="default" w:ascii="Gotham Pro" w:hAnsi="Gotham Pro" w:eastAsia="CIDFont+F1" w:cs="Gotham Pro"/>
          <w:sz w:val="20"/>
          <w:szCs w:val="20"/>
          <w:lang w:eastAsia="en-US"/>
        </w:rPr>
      </w:pPr>
      <w:r>
        <w:rPr>
          <w:rFonts w:hint="default" w:ascii="Gotham Pro" w:hAnsi="Gotham Pro" w:eastAsia="CIDFont+F1" w:cs="Gotham Pro"/>
          <w:sz w:val="20"/>
          <w:szCs w:val="20"/>
          <w:lang w:eastAsia="en-US"/>
        </w:rPr>
        <w:t>таблица 2.7.1.-1</w:t>
      </w:r>
    </w:p>
    <w:tbl>
      <w:tblPr>
        <w:tblStyle w:val="3"/>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851"/>
        <w:gridCol w:w="1165"/>
        <w:gridCol w:w="1454"/>
        <w:gridCol w:w="1632"/>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92" w:type="pct"/>
            <w:vMerge w:val="restart"/>
            <w:shd w:val="clear" w:color="auto" w:fill="auto"/>
            <w:vAlign w:val="center"/>
          </w:tcPr>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Наименование</w:t>
            </w:r>
          </w:p>
        </w:tc>
        <w:tc>
          <w:tcPr>
            <w:tcW w:w="602" w:type="pct"/>
            <w:vMerge w:val="restart"/>
            <w:shd w:val="clear" w:color="auto" w:fill="auto"/>
            <w:vAlign w:val="center"/>
          </w:tcPr>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Ед. изм.</w:t>
            </w:r>
          </w:p>
        </w:tc>
        <w:tc>
          <w:tcPr>
            <w:tcW w:w="2404"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Величина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92"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02"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52" w:type="pct"/>
            <w:shd w:val="clear" w:color="auto" w:fill="auto"/>
            <w:vAlign w:val="center"/>
          </w:tcPr>
          <w:p>
            <w:pPr>
              <w:pStyle w:val="11"/>
              <w:jc w:val="center"/>
              <w:rPr>
                <w:rFonts w:hint="default" w:ascii="Gotham Pro" w:hAnsi="Gotham Pro" w:cs="Gotham Pro"/>
                <w:bCs/>
                <w:sz w:val="20"/>
                <w:szCs w:val="20"/>
              </w:rPr>
            </w:pPr>
            <w:r>
              <w:rPr>
                <w:rFonts w:hint="default" w:ascii="Gotham Pro" w:hAnsi="Gotham Pro" w:cs="Gotham Pro"/>
                <w:sz w:val="20"/>
                <w:szCs w:val="20"/>
              </w:rPr>
              <w:t>Сущ.</w:t>
            </w:r>
          </w:p>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2023 г.</w:t>
            </w:r>
          </w:p>
        </w:tc>
        <w:tc>
          <w:tcPr>
            <w:tcW w:w="844" w:type="pct"/>
            <w:shd w:val="clear" w:color="auto" w:fill="auto"/>
            <w:vAlign w:val="center"/>
          </w:tcPr>
          <w:p>
            <w:pPr>
              <w:pStyle w:val="11"/>
              <w:jc w:val="center"/>
              <w:rPr>
                <w:rFonts w:hint="default" w:ascii="Gotham Pro" w:hAnsi="Gotham Pro" w:cs="Gotham Pro"/>
                <w:bCs/>
                <w:sz w:val="20"/>
                <w:szCs w:val="20"/>
              </w:rPr>
            </w:pPr>
            <w:r>
              <w:rPr>
                <w:rFonts w:hint="default" w:ascii="Gotham Pro" w:hAnsi="Gotham Pro" w:cs="Gotham Pro"/>
                <w:sz w:val="20"/>
                <w:szCs w:val="20"/>
              </w:rPr>
              <w:t>1-ая  очередь</w:t>
            </w:r>
          </w:p>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2033 г.</w:t>
            </w:r>
          </w:p>
        </w:tc>
        <w:tc>
          <w:tcPr>
            <w:tcW w:w="807" w:type="pct"/>
            <w:shd w:val="clear" w:color="auto" w:fill="auto"/>
            <w:vAlign w:val="center"/>
          </w:tcPr>
          <w:p>
            <w:pPr>
              <w:pStyle w:val="11"/>
              <w:jc w:val="center"/>
              <w:rPr>
                <w:rFonts w:hint="default" w:ascii="Gotham Pro" w:hAnsi="Gotham Pro" w:cs="Gotham Pro"/>
                <w:bCs/>
                <w:sz w:val="20"/>
                <w:szCs w:val="20"/>
              </w:rPr>
            </w:pPr>
            <w:r>
              <w:rPr>
                <w:rFonts w:hint="default" w:ascii="Gotham Pro" w:hAnsi="Gotham Pro" w:cs="Gotham Pro"/>
                <w:sz w:val="20"/>
                <w:szCs w:val="20"/>
              </w:rPr>
              <w:t>Расчетный срок</w:t>
            </w:r>
          </w:p>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2043 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9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60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752"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844"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807"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Численность населения</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чел.</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6697</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6355</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Норма водопотребления на хоз. питьевые нужды</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л/сут </w:t>
            </w:r>
            <w:r>
              <w:rPr>
                <w:rFonts w:hint="default" w:ascii="Gotham Pro" w:hAnsi="Gotham Pro" w:cs="Gotham Pro"/>
                <w:sz w:val="20"/>
                <w:szCs w:val="20"/>
              </w:rPr>
              <w:br w:type="textWrapping"/>
            </w:r>
            <w:r>
              <w:rPr>
                <w:rFonts w:hint="default" w:ascii="Gotham Pro" w:hAnsi="Gotham Pro" w:cs="Gotham Pro"/>
                <w:sz w:val="20"/>
                <w:szCs w:val="20"/>
              </w:rPr>
              <w:t>на 1 чел</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160</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160</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коэффициент суточной неравномерности</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Максимальный суточный расход воды на хозяйственно-питьевые нужды</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1393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1322</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sz w:val="20"/>
                <w:szCs w:val="20"/>
              </w:rPr>
            </w:pPr>
            <w:r>
              <w:rPr>
                <w:rFonts w:hint="default" w:ascii="Gotham Pro" w:hAnsi="Gotham Pro" w:cs="Gotham Pro"/>
                <w:sz w:val="20"/>
                <w:szCs w:val="20"/>
              </w:rPr>
              <w:t>Производственное потребление и неучтенные расходы воды</w:t>
            </w:r>
          </w:p>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 от расхода на хозяйственно-питьевые нужды</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139,3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132,2</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Норма расхода воды на полив территории</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л/сут </w:t>
            </w:r>
            <w:r>
              <w:rPr>
                <w:rFonts w:hint="default" w:ascii="Gotham Pro" w:hAnsi="Gotham Pro" w:cs="Gotham Pro"/>
                <w:sz w:val="20"/>
                <w:szCs w:val="20"/>
              </w:rPr>
              <w:br w:type="textWrapping"/>
            </w:r>
            <w:r>
              <w:rPr>
                <w:rFonts w:hint="default" w:ascii="Gotham Pro" w:hAnsi="Gotham Pro" w:cs="Gotham Pro"/>
                <w:sz w:val="20"/>
                <w:szCs w:val="20"/>
              </w:rPr>
              <w:t>на 1 чел.</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Расход воды на полив территории</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м3/сут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335</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318</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333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Максимальный расход воды на 1 пожар</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л/с</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Расход воды на пожар</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108,0</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108,0</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Итого</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1975,3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1880,2</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1965,6</w:t>
            </w:r>
          </w:p>
        </w:tc>
      </w:tr>
    </w:tbl>
    <w:p>
      <w:pPr>
        <w:pStyle w:val="11"/>
        <w:spacing w:line="276" w:lineRule="auto"/>
        <w:ind w:firstLine="567"/>
        <w:jc w:val="right"/>
        <w:rPr>
          <w:rFonts w:hint="default" w:ascii="Gotham Pro" w:hAnsi="Gotham Pro" w:eastAsia="CIDFont+F1" w:cs="Gotham Pro"/>
          <w:sz w:val="20"/>
          <w:szCs w:val="20"/>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2" w:firstLineChars="0"/>
        <w:jc w:val="both"/>
        <w:rPr>
          <w:rFonts w:hint="default" w:ascii="Gotham Pro" w:hAnsi="Gotham Pro" w:cs="Gotham Pro"/>
          <w:sz w:val="24"/>
          <w:szCs w:val="24"/>
        </w:rPr>
      </w:pPr>
      <w:r>
        <w:rPr>
          <w:rFonts w:hint="default" w:ascii="Gotham Pro" w:hAnsi="Gotham Pro" w:cs="Gotham Pro"/>
          <w:sz w:val="24"/>
          <w:szCs w:val="24"/>
        </w:rPr>
        <w:t>В поселении отсутствуют централизованное водоотведение, очистные сооружения. Население использует локальные выгребные ямы.</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42" w:firstLineChars="0"/>
        <w:jc w:val="both"/>
        <w:textAlignment w:val="baseline"/>
        <w:rPr>
          <w:rFonts w:hint="default" w:ascii="Gotham Pro" w:hAnsi="Gotham Pro" w:eastAsia="Times New Roman" w:cs="Gotham Pro"/>
          <w:sz w:val="24"/>
          <w:szCs w:val="24"/>
        </w:rPr>
      </w:pPr>
      <w:r>
        <w:rPr>
          <w:rFonts w:hint="default" w:ascii="Gotham Pro" w:hAnsi="Gotham Pro" w:cs="Gotham Pro"/>
          <w:sz w:val="24"/>
          <w:szCs w:val="24"/>
        </w:rPr>
        <w:t>Также отсутствует ливневая канализация.</w:t>
      </w:r>
      <w:r>
        <w:rPr>
          <w:rFonts w:hint="default" w:ascii="Gotham Pro" w:hAnsi="Gotham Pro" w:eastAsia="Times New Roman" w:cs="Gotham Pro"/>
          <w:sz w:val="24"/>
          <w:szCs w:val="24"/>
        </w:rPr>
        <w:t xml:space="preserve"> Отвод дождевых и талых вод не регулируется и осуществляется в пониженные места существующего рельефа по придорожным канавам.</w:t>
      </w:r>
    </w:p>
    <w:p>
      <w:pPr>
        <w:spacing w:after="0"/>
        <w:ind w:firstLine="567"/>
        <w:jc w:val="both"/>
        <w:textAlignment w:val="baseline"/>
        <w:rPr>
          <w:rFonts w:ascii="Times New Roman" w:hAnsi="Times New Roman" w:eastAsia="Times New Roman"/>
          <w:sz w:val="28"/>
          <w:szCs w:val="28"/>
        </w:rPr>
      </w:pPr>
    </w:p>
    <w:p>
      <w:pPr>
        <w:pStyle w:val="11"/>
        <w:spacing w:line="276" w:lineRule="auto"/>
        <w:ind w:firstLine="567"/>
        <w:jc w:val="center"/>
        <w:rPr>
          <w:rFonts w:hint="default" w:ascii="Gotham Pro" w:hAnsi="Gotham Pro" w:eastAsia="CIDFont+F1" w:cs="Gotham Pro"/>
          <w:sz w:val="20"/>
          <w:szCs w:val="20"/>
          <w:lang w:eastAsia="en-US"/>
        </w:rPr>
      </w:pPr>
      <w:r>
        <w:rPr>
          <w:rFonts w:hint="default" w:ascii="Gotham Pro" w:hAnsi="Gotham Pro" w:eastAsia="CIDFont+F1" w:cs="Gotham Pro"/>
          <w:sz w:val="20"/>
          <w:szCs w:val="20"/>
          <w:lang w:eastAsia="en-US"/>
        </w:rPr>
        <w:t>Расчетное водоотведение в МО СП «Сосново-Озерское»</w:t>
      </w:r>
    </w:p>
    <w:p>
      <w:pPr>
        <w:pStyle w:val="11"/>
        <w:spacing w:line="276" w:lineRule="auto"/>
        <w:ind w:firstLine="567"/>
        <w:jc w:val="right"/>
        <w:rPr>
          <w:rFonts w:hint="default" w:ascii="Gotham Pro" w:hAnsi="Gotham Pro" w:eastAsia="CIDFont+F1" w:cs="Gotham Pro"/>
          <w:sz w:val="20"/>
          <w:szCs w:val="20"/>
          <w:lang w:eastAsia="en-US"/>
        </w:rPr>
      </w:pPr>
      <w:r>
        <w:rPr>
          <w:rFonts w:hint="default" w:ascii="Gotham Pro" w:hAnsi="Gotham Pro" w:eastAsia="CIDFont+F1" w:cs="Gotham Pro"/>
          <w:sz w:val="20"/>
          <w:szCs w:val="20"/>
          <w:lang w:eastAsia="en-US"/>
        </w:rPr>
        <w:t>таблица 2.7.1.-2</w:t>
      </w:r>
    </w:p>
    <w:tbl>
      <w:tblPr>
        <w:tblStyle w:val="3"/>
        <w:tblW w:w="495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3851"/>
        <w:gridCol w:w="1165"/>
        <w:gridCol w:w="1454"/>
        <w:gridCol w:w="1632"/>
        <w:gridCol w:w="15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92" w:type="pct"/>
            <w:vMerge w:val="restart"/>
            <w:shd w:val="clear" w:color="auto" w:fill="auto"/>
            <w:vAlign w:val="center"/>
          </w:tcPr>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Наименование</w:t>
            </w:r>
          </w:p>
        </w:tc>
        <w:tc>
          <w:tcPr>
            <w:tcW w:w="602" w:type="pct"/>
            <w:vMerge w:val="restart"/>
            <w:shd w:val="clear" w:color="auto" w:fill="auto"/>
            <w:vAlign w:val="center"/>
          </w:tcPr>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Ед. изм.</w:t>
            </w:r>
          </w:p>
        </w:tc>
        <w:tc>
          <w:tcPr>
            <w:tcW w:w="2404"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Величина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92"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02"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752" w:type="pct"/>
            <w:shd w:val="clear" w:color="auto" w:fill="auto"/>
            <w:vAlign w:val="center"/>
          </w:tcPr>
          <w:p>
            <w:pPr>
              <w:pStyle w:val="11"/>
              <w:jc w:val="center"/>
              <w:rPr>
                <w:rFonts w:hint="default" w:ascii="Gotham Pro" w:hAnsi="Gotham Pro" w:cs="Gotham Pro"/>
                <w:bCs/>
                <w:sz w:val="20"/>
                <w:szCs w:val="20"/>
              </w:rPr>
            </w:pPr>
            <w:r>
              <w:rPr>
                <w:rFonts w:hint="default" w:ascii="Gotham Pro" w:hAnsi="Gotham Pro" w:cs="Gotham Pro"/>
                <w:sz w:val="20"/>
                <w:szCs w:val="20"/>
              </w:rPr>
              <w:t>Сущ.</w:t>
            </w:r>
          </w:p>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2023 г.</w:t>
            </w:r>
          </w:p>
        </w:tc>
        <w:tc>
          <w:tcPr>
            <w:tcW w:w="844" w:type="pct"/>
            <w:shd w:val="clear" w:color="auto" w:fill="auto"/>
            <w:vAlign w:val="center"/>
          </w:tcPr>
          <w:p>
            <w:pPr>
              <w:pStyle w:val="11"/>
              <w:jc w:val="center"/>
              <w:rPr>
                <w:rFonts w:hint="default" w:ascii="Gotham Pro" w:hAnsi="Gotham Pro" w:cs="Gotham Pro"/>
                <w:bCs/>
                <w:sz w:val="20"/>
                <w:szCs w:val="20"/>
              </w:rPr>
            </w:pPr>
            <w:r>
              <w:rPr>
                <w:rFonts w:hint="default" w:ascii="Gotham Pro" w:hAnsi="Gotham Pro" w:cs="Gotham Pro"/>
                <w:sz w:val="20"/>
                <w:szCs w:val="20"/>
              </w:rPr>
              <w:t>1-ая  очередь</w:t>
            </w:r>
          </w:p>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2033 г.</w:t>
            </w:r>
          </w:p>
        </w:tc>
        <w:tc>
          <w:tcPr>
            <w:tcW w:w="807" w:type="pct"/>
            <w:shd w:val="clear" w:color="auto" w:fill="auto"/>
            <w:vAlign w:val="center"/>
          </w:tcPr>
          <w:p>
            <w:pPr>
              <w:pStyle w:val="11"/>
              <w:jc w:val="center"/>
              <w:rPr>
                <w:rFonts w:hint="default" w:ascii="Gotham Pro" w:hAnsi="Gotham Pro" w:cs="Gotham Pro"/>
                <w:bCs/>
                <w:sz w:val="20"/>
                <w:szCs w:val="20"/>
              </w:rPr>
            </w:pPr>
            <w:r>
              <w:rPr>
                <w:rFonts w:hint="default" w:ascii="Gotham Pro" w:hAnsi="Gotham Pro" w:cs="Gotham Pro"/>
                <w:sz w:val="20"/>
                <w:szCs w:val="20"/>
              </w:rPr>
              <w:t>Расчетный срок</w:t>
            </w:r>
          </w:p>
          <w:p>
            <w:pPr>
              <w:pStyle w:val="11"/>
              <w:jc w:val="center"/>
              <w:rPr>
                <w:rFonts w:hint="default" w:ascii="Gotham Pro" w:hAnsi="Gotham Pro" w:cs="Gotham Pro" w:eastAsiaTheme="minorEastAsia"/>
                <w:bCs/>
                <w:sz w:val="20"/>
                <w:szCs w:val="20"/>
                <w:lang w:val="ru-RU" w:eastAsia="ru-RU" w:bidi="ar-SA"/>
              </w:rPr>
            </w:pPr>
            <w:r>
              <w:rPr>
                <w:rFonts w:hint="default" w:ascii="Gotham Pro" w:hAnsi="Gotham Pro" w:cs="Gotham Pro"/>
                <w:sz w:val="20"/>
                <w:szCs w:val="20"/>
              </w:rPr>
              <w:t>2043 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99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602"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752"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844"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807"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Численность населения</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чел.</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6697</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6355</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6665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Норма водопотребления на хоз. питьевые нужды</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л/сут </w:t>
            </w:r>
            <w:r>
              <w:rPr>
                <w:rFonts w:hint="default" w:ascii="Gotham Pro" w:hAnsi="Gotham Pro" w:cs="Gotham Pro"/>
                <w:sz w:val="20"/>
                <w:szCs w:val="20"/>
              </w:rPr>
              <w:br w:type="textWrapping"/>
            </w:r>
            <w:r>
              <w:rPr>
                <w:rFonts w:hint="default" w:ascii="Gotham Pro" w:hAnsi="Gotham Pro" w:cs="Gotham Pro"/>
                <w:sz w:val="20"/>
                <w:szCs w:val="20"/>
              </w:rPr>
              <w:t>на 1 чел</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160</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160</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160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коэффициент суточной неравномерности</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Максимальный суточный расход воды на хозяйственно-питьевые нужды</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1393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1322</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sz w:val="20"/>
                <w:szCs w:val="20"/>
              </w:rPr>
            </w:pPr>
            <w:r>
              <w:rPr>
                <w:rFonts w:hint="default" w:ascii="Gotham Pro" w:hAnsi="Gotham Pro" w:cs="Gotham Pro"/>
                <w:sz w:val="20"/>
                <w:szCs w:val="20"/>
              </w:rPr>
              <w:t>Производственное потребление и неучтенные расходы воды</w:t>
            </w:r>
          </w:p>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10% от расхода на хозяйственно-питьевые нужды</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139,3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132,2</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138,6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992" w:type="pct"/>
            <w:shd w:val="clear" w:color="auto" w:fill="auto"/>
            <w:vAlign w:val="center"/>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Итого </w:t>
            </w:r>
          </w:p>
        </w:tc>
        <w:tc>
          <w:tcPr>
            <w:tcW w:w="60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w:t>
            </w:r>
            <w:r>
              <w:rPr>
                <w:rFonts w:hint="default" w:ascii="Gotham Pro" w:hAnsi="Gotham Pro" w:cs="Gotham Pro"/>
                <w:sz w:val="20"/>
                <w:szCs w:val="20"/>
                <w:vertAlign w:val="superscript"/>
              </w:rPr>
              <w:t>3</w:t>
            </w:r>
            <w:r>
              <w:rPr>
                <w:rFonts w:hint="default" w:ascii="Gotham Pro" w:hAnsi="Gotham Pro" w:cs="Gotham Pro"/>
                <w:sz w:val="20"/>
                <w:szCs w:val="20"/>
              </w:rPr>
              <w:t>/сут</w:t>
            </w:r>
          </w:p>
        </w:tc>
        <w:tc>
          <w:tcPr>
            <w:tcW w:w="752"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1532,3</w:t>
            </w:r>
          </w:p>
        </w:tc>
        <w:tc>
          <w:tcPr>
            <w:tcW w:w="844"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1454,2</w:t>
            </w:r>
          </w:p>
        </w:tc>
        <w:tc>
          <w:tcPr>
            <w:tcW w:w="807" w:type="pc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1524,6</w:t>
            </w:r>
          </w:p>
        </w:tc>
      </w:tr>
    </w:tbl>
    <w:p>
      <w:pPr>
        <w:pStyle w:val="11"/>
        <w:spacing w:line="276" w:lineRule="auto"/>
        <w:ind w:firstLine="567"/>
        <w:jc w:val="right"/>
        <w:rPr>
          <w:rFonts w:hint="default" w:ascii="Gotham Pro" w:hAnsi="Gotham Pro" w:eastAsia="CIDFont+F1" w:cs="Gotham Pro"/>
          <w:sz w:val="20"/>
          <w:szCs w:val="20"/>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r>
        <w:rPr>
          <w:rFonts w:hint="default" w:ascii="Gotham Pro" w:hAnsi="Gotham Pro" w:cs="Gotham Pro"/>
          <w:b/>
          <w:bCs/>
          <w:sz w:val="24"/>
          <w:szCs w:val="24"/>
        </w:rPr>
        <w:t>2.7.2. Электроснабжение</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В целях улучшения электроснабжения населения и хозяйствующих субъектов проектом генерального плана предлагается проведение следующих мероприятий:</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замена ветхих участков линий электропередач,  модернизация объектов системы электроснабжения;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iCs/>
          <w:sz w:val="24"/>
          <w:szCs w:val="24"/>
        </w:rPr>
        <w:t>- поэтапная реконструкция существующих подстанций села с заменой устаревшего оборудования на новое;</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xml:space="preserve">- подключение к системе электроснабжения поселка запланированных объектов жилой и общественно-деловой застройки. </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numPr>
          <w:ilvl w:val="2"/>
          <w:numId w:val="12"/>
        </w:numPr>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sz w:val="24"/>
          <w:szCs w:val="24"/>
        </w:rPr>
      </w:pPr>
      <w:r>
        <w:rPr>
          <w:rFonts w:hint="default" w:ascii="Gotham Pro" w:hAnsi="Gotham Pro" w:cs="Gotham Pro"/>
          <w:b/>
          <w:sz w:val="24"/>
          <w:szCs w:val="24"/>
        </w:rPr>
        <w:t>Теплоснабжение</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eastAsiaTheme="minorHAnsi"/>
          <w:sz w:val="24"/>
          <w:szCs w:val="24"/>
          <w:lang w:eastAsia="en-US"/>
        </w:rPr>
      </w:pPr>
      <w:r>
        <w:rPr>
          <w:rFonts w:hint="default" w:ascii="Gotham Pro" w:hAnsi="Gotham Pro" w:cs="Gotham Pro"/>
          <w:bCs/>
          <w:sz w:val="24"/>
          <w:szCs w:val="24"/>
        </w:rPr>
        <w:t xml:space="preserve">Государственные и муниципальные программы не содержат  </w:t>
      </w:r>
      <w:r>
        <w:rPr>
          <w:rFonts w:hint="default" w:ascii="Gotham Pro" w:hAnsi="Gotham Pro" w:cs="Gotham Pro" w:eastAsiaTheme="minorHAnsi"/>
          <w:sz w:val="24"/>
          <w:szCs w:val="24"/>
          <w:lang w:eastAsia="en-US"/>
        </w:rPr>
        <w:t>мероприятий по строительству и реконструкции объектов теплоснабжения на территории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xml:space="preserve">Планируемые объекты местного значения и жилой фонд  предлагается оснастить индивидуальными источниками теплоснабжения. </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r>
        <w:rPr>
          <w:rFonts w:hint="default" w:ascii="Gotham Pro" w:hAnsi="Gotham Pro" w:cs="Gotham Pro"/>
          <w:b/>
          <w:bCs/>
          <w:sz w:val="24"/>
          <w:szCs w:val="24"/>
        </w:rPr>
        <w:t>2.8. Развитие транспортной инфраструктуры</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xml:space="preserve">Постановлением Администрации МО «Еравнинский район» от 12.01.2021 № 9 утверждена МП «Дорожный фонд Еравнинского района», в рамках которой планируется проведение мероприятий в целях приведения дорог к нормативному состоянию, допустимому по условиям обеспечения безопасности дорожного движения согласно требованиям Госстандарта, а также содействию экономическому росту муниципальных образований, повышению уровня жизни населения за счет совершенствования дорожной сети, в том числе: </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содержание автомобильных дорог общего пользования местного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ремонт автомобильных дорог общего пользования местного значения, в том числе разработка проектной и рабочей документации;</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реконструкция, строительство, капитальный ремонт, ремонт  автомобильных дорог (с разработкой проектной и рабочей документации), в том числе за счет предоставленных субсидий из разных источников и в целях софинансирования федеральных, республиканских программ;</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разработка дислокации дорожных знаков, проекта организаций дорожного движения, приобретение и установка дорожных знаков.</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В целях развития транспортной инфраструктуры, которая должна обеспечить комфортную доступность населенных пунктов, безопасные и надежные внешние и внутренние связи пассажирских и грузовых перевозок, на территории поселения планируется: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строительство объекта дорожного сервиса в местности «Далан»;</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строительство газозаправочной станции в с. Сосново- Озерское.</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В соответствии с Местными нормативами градостроительного проектирования расчетные показатели максимально допустимого уровня территориальной доступности автомобильных дорог регионального, муниципального и общего пользования местного значения не нормируются.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r>
        <w:rPr>
          <w:rFonts w:hint="default" w:ascii="Gotham Pro" w:hAnsi="Gotham Pro" w:cs="Gotham Pro"/>
          <w:b/>
          <w:bCs/>
          <w:sz w:val="24"/>
          <w:szCs w:val="24"/>
        </w:rPr>
        <w:t>2.9. Объекты специального назначения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r>
        <w:rPr>
          <w:rFonts w:hint="default" w:ascii="Gotham Pro" w:hAnsi="Gotham Pro" w:cs="Gotham Pro"/>
          <w:b/>
          <w:bCs/>
          <w:sz w:val="24"/>
          <w:szCs w:val="24"/>
        </w:rPr>
        <w:t>2.9.1. Организация ритуальных услуг и содержание мест захоронения</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Для приведения целевого назначения земельных участков, занятых местами погребения, требованиям земельного законодательства требуется изменение категории и вида разрешенного использования земельных участков с кадастровыми номерами 03:05:290103:852 (кладбище с. Сосново-Озерское), 03:05:290106:444 и 03:05:290106:443 (кладбище с. Домна).</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В целях возможности изменения категории земельного участка с кадастровым номером 03:05:290106:443 (кладбище с. Домна), расположенного на межселенной территории МО «Еравнинский район» требуется внесение изменений в Схему территориального планирования МО «Еравнинский район» в части установления функциональной и территориальной зон – зона специального назначения (зона кладбищ).</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xml:space="preserve">Учитывая установленные Местными нормативами градостроительного проектирования МО СП «Сосново-Озерское», утвержденными Решением Советадепутатов МО «Еравнинский район» от 22.12.2017 № 40/10-7, предельные значения расчетных показателей минимально допустимого </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уровня обеспеченности объектами, предназначенными для организации ритуальных услуг и мест захоронения, которые составляют 0,24 га на 1 тысячу человек, площадь существующих кладбищ соответствует нормативным показателям.</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r>
        <w:rPr>
          <w:rFonts w:hint="default" w:ascii="Gotham Pro" w:hAnsi="Gotham Pro" w:cs="Gotham Pro"/>
          <w:b/>
          <w:bCs/>
          <w:sz w:val="24"/>
          <w:szCs w:val="24"/>
        </w:rPr>
        <w:t>2.9.2.</w:t>
      </w:r>
      <w:r>
        <w:rPr>
          <w:rFonts w:hint="default" w:ascii="Gotham Pro" w:hAnsi="Gotham Pro" w:cs="Gotham Pro"/>
          <w:b/>
          <w:bCs/>
          <w:sz w:val="24"/>
          <w:szCs w:val="24"/>
        </w:rPr>
        <w:tab/>
      </w:r>
      <w:r>
        <w:rPr>
          <w:rFonts w:hint="default" w:ascii="Gotham Pro" w:hAnsi="Gotham Pro" w:cs="Gotham Pro"/>
          <w:b/>
          <w:bCs/>
          <w:sz w:val="24"/>
          <w:szCs w:val="24"/>
        </w:rPr>
        <w:t>Объекты складирования и захоронения отходов</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xml:space="preserve">На территории поселения отсутствуют предусмотренные Территориальной схемой объекты размещения ТКО. </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4" w:firstLineChars="181"/>
        <w:jc w:val="both"/>
        <w:textAlignment w:val="auto"/>
        <w:rPr>
          <w:rFonts w:hint="default" w:ascii="Gotham Pro" w:hAnsi="Gotham Pro" w:cs="Gotham Pro"/>
          <w:sz w:val="24"/>
          <w:szCs w:val="24"/>
        </w:rPr>
      </w:pPr>
      <w:r>
        <w:rPr>
          <w:rFonts w:hint="default" w:ascii="Gotham Pro" w:hAnsi="Gotham Pro" w:cs="Gotham Pro"/>
          <w:sz w:val="24"/>
          <w:szCs w:val="24"/>
        </w:rPr>
        <w:t xml:space="preserve">В соответствии с действующей схемой потока, установленной Территориальной схемой (приложение 28 к приказу Министерства природных ресурсов и экологии Республик Бурятия от 02.08.2022 № 295-ПР) отходы с территории МО СП «Сосново-Озерское» подлежат вывозу </w:t>
      </w:r>
      <w:r>
        <w:rPr>
          <w:rFonts w:hint="default" w:ascii="Gotham Pro" w:hAnsi="Gotham Pro"/>
          <w:sz w:val="24"/>
          <w:szCs w:val="24"/>
        </w:rPr>
        <w:t>на полигон АО «Республиканский мусороперерабатывающий завод», имеющий местоположение: Республика Бурятия, Еравнинский район, МО «Эгитуйское», земельный участок с кадастровым номером 03:05:280101:834</w:t>
      </w:r>
      <w:r>
        <w:rPr>
          <w:rFonts w:hint="default" w:ascii="Gotham Pro" w:hAnsi="Gotham Pro" w:cs="Gotham Pro"/>
          <w:sz w:val="24"/>
          <w:szCs w:val="24"/>
        </w:rPr>
        <w:t>.</w:t>
      </w:r>
    </w:p>
    <w:p>
      <w:pPr>
        <w:pStyle w:val="11"/>
        <w:keepNext w:val="0"/>
        <w:keepLines w:val="0"/>
        <w:pageBreakBefore w:val="0"/>
        <w:widowControl/>
        <w:kinsoku/>
        <w:wordWrap/>
        <w:overflowPunct/>
        <w:topLinePunct w:val="0"/>
        <w:autoSpaceDE/>
        <w:autoSpaceDN/>
        <w:bidi w:val="0"/>
        <w:adjustRightInd/>
        <w:snapToGrid/>
        <w:spacing w:line="300" w:lineRule="auto"/>
        <w:ind w:left="5" w:leftChars="0" w:firstLine="435" w:firstLineChars="181"/>
        <w:jc w:val="both"/>
        <w:textAlignment w:val="auto"/>
        <w:rPr>
          <w:rFonts w:hint="default" w:ascii="Gotham Pro" w:hAnsi="Gotham Pro" w:cs="Gotham Pro"/>
          <w:b/>
          <w:bCs/>
          <w:sz w:val="24"/>
          <w:szCs w:val="24"/>
        </w:rPr>
      </w:pPr>
    </w:p>
    <w:p>
      <w:pPr>
        <w:pStyle w:val="11"/>
        <w:keepNext w:val="0"/>
        <w:keepLines w:val="0"/>
        <w:pageBreakBefore w:val="0"/>
        <w:widowControl/>
        <w:numPr>
          <w:ilvl w:val="0"/>
          <w:numId w:val="12"/>
        </w:numPr>
        <w:kinsoku/>
        <w:wordWrap/>
        <w:overflowPunct/>
        <w:topLinePunct w:val="0"/>
        <w:autoSpaceDE/>
        <w:autoSpaceDN/>
        <w:bidi w:val="0"/>
        <w:adjustRightInd/>
        <w:snapToGrid/>
        <w:spacing w:line="300" w:lineRule="auto"/>
        <w:ind w:left="675" w:leftChars="0" w:hanging="675" w:firstLineChars="0"/>
        <w:jc w:val="center"/>
        <w:textAlignment w:val="auto"/>
        <w:rPr>
          <w:rFonts w:hint="default" w:ascii="Gotham Pro" w:hAnsi="Gotham Pro" w:cs="Gotham Pro"/>
          <w:b/>
          <w:bCs/>
          <w:sz w:val="24"/>
          <w:szCs w:val="24"/>
        </w:rPr>
      </w:pPr>
      <w:r>
        <w:rPr>
          <w:rFonts w:hint="default" w:ascii="Gotham Pro" w:hAnsi="Gotham Pro" w:cs="Gotham Pro"/>
          <w:b/>
          <w:bCs/>
          <w:sz w:val="24"/>
          <w:szCs w:val="24"/>
        </w:rPr>
        <w:t>Оценка возможного влияния</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jc w:val="center"/>
        <w:textAlignment w:val="auto"/>
        <w:rPr>
          <w:rFonts w:hint="default" w:ascii="Gotham Pro" w:hAnsi="Gotham Pro" w:cs="Gotham Pro"/>
          <w:b/>
          <w:bCs/>
          <w:sz w:val="24"/>
          <w:szCs w:val="24"/>
        </w:rPr>
      </w:pPr>
      <w:r>
        <w:rPr>
          <w:rFonts w:hint="default" w:ascii="Gotham Pro" w:hAnsi="Gotham Pro" w:cs="Gotham Pro"/>
          <w:b/>
          <w:bCs/>
          <w:sz w:val="24"/>
          <w:szCs w:val="24"/>
        </w:rPr>
        <w:t>планируемых для размещения объектов местного значения поселения</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Chars="0"/>
        <w:jc w:val="center"/>
        <w:textAlignment w:val="auto"/>
        <w:rPr>
          <w:rFonts w:hint="default" w:ascii="Gotham Pro" w:hAnsi="Gotham Pro" w:cs="Gotham Pro"/>
          <w:b/>
          <w:bCs/>
          <w:sz w:val="24"/>
          <w:szCs w:val="24"/>
        </w:rPr>
      </w:pPr>
      <w:r>
        <w:rPr>
          <w:rFonts w:hint="default" w:ascii="Gotham Pro" w:hAnsi="Gotham Pro" w:cs="Gotham Pro"/>
          <w:b/>
          <w:bCs/>
          <w:sz w:val="24"/>
          <w:szCs w:val="24"/>
        </w:rPr>
        <w:t>на комплексное развитие этих территорий</w:t>
      </w:r>
    </w:p>
    <w:p>
      <w:pPr>
        <w:pStyle w:val="11"/>
        <w:ind w:firstLine="567"/>
        <w:jc w:val="both"/>
        <w:rPr>
          <w:rFonts w:ascii="Times New Roman" w:hAnsi="Times New Roman" w:cs="Times New Roman"/>
          <w:b/>
          <w:bCs/>
          <w:sz w:val="28"/>
          <w:szCs w:val="28"/>
        </w:rPr>
      </w:pPr>
    </w:p>
    <w:p>
      <w:pPr>
        <w:pStyle w:val="11"/>
        <w:jc w:val="center"/>
        <w:rPr>
          <w:rFonts w:hint="default" w:ascii="Gotham Pro" w:hAnsi="Gotham Pro" w:cs="Gotham Pro"/>
          <w:sz w:val="20"/>
          <w:szCs w:val="20"/>
        </w:rPr>
      </w:pPr>
      <w:r>
        <w:rPr>
          <w:rFonts w:hint="default" w:ascii="Gotham Pro" w:hAnsi="Gotham Pro" w:cs="Gotham Pro"/>
          <w:sz w:val="20"/>
          <w:szCs w:val="20"/>
        </w:rPr>
        <w:t>Возможное влияние планируемых для размещения объектов местного значения</w:t>
      </w:r>
    </w:p>
    <w:p>
      <w:pPr>
        <w:pStyle w:val="11"/>
        <w:jc w:val="center"/>
        <w:rPr>
          <w:rFonts w:hint="default" w:ascii="Gotham Pro" w:hAnsi="Gotham Pro" w:cs="Gotham Pro"/>
          <w:sz w:val="20"/>
          <w:szCs w:val="20"/>
        </w:rPr>
      </w:pPr>
      <w:r>
        <w:rPr>
          <w:rFonts w:hint="default" w:ascii="Gotham Pro" w:hAnsi="Gotham Pro" w:cs="Gotham Pro"/>
          <w:sz w:val="20"/>
          <w:szCs w:val="20"/>
        </w:rPr>
        <w:t>поселения на комплексное развитие этих территорий</w:t>
      </w:r>
    </w:p>
    <w:p>
      <w:pPr>
        <w:pStyle w:val="11"/>
        <w:jc w:val="right"/>
        <w:rPr>
          <w:rFonts w:hint="default" w:ascii="Gotham Pro" w:hAnsi="Gotham Pro" w:cs="Gotham Pro"/>
          <w:sz w:val="20"/>
          <w:szCs w:val="20"/>
        </w:rPr>
      </w:pPr>
      <w:r>
        <w:rPr>
          <w:rFonts w:hint="default" w:ascii="Gotham Pro" w:hAnsi="Gotham Pro" w:cs="Gotham Pro"/>
          <w:sz w:val="20"/>
          <w:szCs w:val="20"/>
        </w:rPr>
        <w:t>таблица 3-1</w:t>
      </w:r>
    </w:p>
    <w:tbl>
      <w:tblPr>
        <w:tblStyle w:val="3"/>
        <w:tblW w:w="496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916"/>
        <w:gridCol w:w="67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504" w:type="pct"/>
            <w:shd w:val="clear" w:color="auto" w:fill="auto"/>
            <w:vAlign w:val="top"/>
          </w:tcPr>
          <w:p>
            <w:pPr>
              <w:pStyle w:val="20"/>
              <w:spacing w:line="276" w:lineRule="auto"/>
              <w:ind w:firstLine="0" w:firstLineChars="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Вид объекта местного значения</w:t>
            </w:r>
          </w:p>
        </w:tc>
        <w:tc>
          <w:tcPr>
            <w:tcW w:w="3495" w:type="pct"/>
            <w:shd w:val="clear" w:color="auto" w:fill="auto"/>
            <w:vAlign w:val="top"/>
          </w:tcPr>
          <w:p>
            <w:pPr>
              <w:pStyle w:val="20"/>
              <w:spacing w:line="276" w:lineRule="auto"/>
              <w:ind w:firstLine="0" w:firstLineChars="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Возможное влияние, ожидаемые результаты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504"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349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Жилой фонд </w:t>
            </w:r>
          </w:p>
        </w:tc>
        <w:tc>
          <w:tcPr>
            <w:tcW w:w="3495"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Реализация мер по жилищному строительству обеспечит увеличение площади жилого фонда и средней жилищной обеспеченности на уровне 25 м</w:t>
            </w:r>
            <w:r>
              <w:rPr>
                <w:rFonts w:hint="default" w:ascii="Gotham Pro" w:hAnsi="Gotham Pro" w:cs="Gotham Pro"/>
                <w:sz w:val="20"/>
                <w:szCs w:val="20"/>
                <w:vertAlign w:val="superscript"/>
              </w:rPr>
              <w:t>2</w:t>
            </w:r>
            <w:r>
              <w:rPr>
                <w:rFonts w:hint="default" w:ascii="Gotham Pro" w:hAnsi="Gotham Pro" w:cs="Gotham Pro"/>
                <w:sz w:val="20"/>
                <w:szCs w:val="20"/>
              </w:rPr>
              <w:t xml:space="preserve"> общей площади на человека, улучшение жилищных условий населения, трудоустройство молодых специалистов и закрепление кадров на селе.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Объекты социальной инфраструктуры</w:t>
            </w:r>
          </w:p>
        </w:tc>
        <w:tc>
          <w:tcPr>
            <w:tcW w:w="3495" w:type="pct"/>
            <w:shd w:val="clear" w:color="auto" w:fill="auto"/>
            <w:vAlign w:val="top"/>
          </w:tcPr>
          <w:p>
            <w:pPr>
              <w:pStyle w:val="20"/>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Улучшение доступности и качества предоставляемых услуг населению в сфере образования, культуры, физической культуры и спорта, повышение комфортности проживания граждан.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Объекты водоснабжения</w:t>
            </w:r>
          </w:p>
        </w:tc>
        <w:tc>
          <w:tcPr>
            <w:tcW w:w="3495"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Реализация муниципальных программ в области коммунальной инфраструктуры, схем водоснабжения, водоотведения муниципальных образований, обеспечение бесперебойными и качественными услугами по водоснабжению и водоотведению населения, социальных объектов, хозяйствующих субъектов в результате модернизации системы, снижение потерь при производстве, транспортировке и распределении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Объекты транспортной инфраструктуры</w:t>
            </w:r>
          </w:p>
        </w:tc>
        <w:tc>
          <w:tcPr>
            <w:tcW w:w="3495" w:type="pct"/>
            <w:shd w:val="clear" w:color="auto" w:fill="auto"/>
            <w:vAlign w:val="top"/>
          </w:tcPr>
          <w:p>
            <w:pPr>
              <w:pStyle w:val="20"/>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Совершенствование транспортной инфраструктуры, способствующее созданию благоприятных условий экономического развития, развитию туризма, повышению безопасности дорожного движения.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20"/>
              <w:spacing w:line="276" w:lineRule="auto"/>
              <w:ind w:firstLine="0" w:firstLineChars="0"/>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Производственные объекты</w:t>
            </w:r>
          </w:p>
        </w:tc>
        <w:tc>
          <w:tcPr>
            <w:tcW w:w="3495" w:type="pct"/>
            <w:shd w:val="clear" w:color="auto" w:fill="auto"/>
            <w:vAlign w:val="top"/>
          </w:tcPr>
          <w:p>
            <w:pPr>
              <w:pStyle w:val="11"/>
              <w:spacing w:line="276" w:lineRule="auto"/>
              <w:jc w:val="both"/>
              <w:rPr>
                <w:rFonts w:hint="default" w:ascii="Gotham Pro" w:hAnsi="Gotham Pro" w:cs="Gotham Pro" w:eastAsiaTheme="minorEastAsia"/>
                <w:sz w:val="20"/>
                <w:szCs w:val="20"/>
                <w:highlight w:val="yellow"/>
                <w:lang w:val="ru-RU" w:eastAsia="ru-RU" w:bidi="ar-SA"/>
              </w:rPr>
            </w:pPr>
            <w:r>
              <w:rPr>
                <w:rFonts w:hint="default" w:ascii="Gotham Pro" w:hAnsi="Gotham Pro" w:cs="Gotham Pro"/>
                <w:sz w:val="20"/>
                <w:szCs w:val="20"/>
              </w:rPr>
              <w:t>Развитие малого и среднего предпринимательства, эффективное использование местных ресурсов, создание рабочих мест, увеличение поступления в местные бюджеты налоговых и неналоговых доходов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Объекты отдыха и туризма</w:t>
            </w:r>
          </w:p>
        </w:tc>
        <w:tc>
          <w:tcPr>
            <w:tcW w:w="3495"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Создание условий для массового отдыха жителей поселения и туристов, раскрытие туристского потенциала, организация обустройства мест массового отдыха населения, создание рабочих мест, увеличение поступления в местные бюджеты налоговых и неналоговых доходов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504"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Объекты специального назначения </w:t>
            </w:r>
          </w:p>
        </w:tc>
        <w:tc>
          <w:tcPr>
            <w:tcW w:w="3495"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Выполнение гарантии осуществления погребения умершего, организация ритуальных услуг и содержание мест захоронения</w:t>
            </w:r>
          </w:p>
        </w:tc>
      </w:tr>
    </w:tbl>
    <w:p>
      <w:pPr>
        <w:pStyle w:val="11"/>
        <w:jc w:val="right"/>
        <w:rPr>
          <w:rFonts w:hint="default" w:ascii="Gotham Pro" w:hAnsi="Gotham Pro" w:cs="Gotham Pro"/>
          <w:sz w:val="20"/>
          <w:szCs w:val="20"/>
        </w:rPr>
      </w:pPr>
    </w:p>
    <w:p>
      <w:pPr>
        <w:pStyle w:val="11"/>
        <w:jc w:val="right"/>
        <w:rPr>
          <w:rFonts w:hint="default" w:ascii="Gotham Pro" w:hAnsi="Gotham Pro" w:cs="Gotham Pro"/>
          <w:sz w:val="20"/>
          <w:szCs w:val="20"/>
          <w:lang w:val="en-US"/>
        </w:rPr>
      </w:pPr>
    </w:p>
    <w:p>
      <w:pPr>
        <w:pStyle w:val="11"/>
        <w:spacing w:line="276" w:lineRule="auto"/>
        <w:ind w:left="0" w:leftChars="0" w:firstLine="439" w:firstLineChars="183"/>
        <w:jc w:val="center"/>
        <w:rPr>
          <w:rFonts w:hint="default" w:ascii="Gotham Pro" w:hAnsi="Gotham Pro" w:cs="Gotham Pro"/>
          <w:b/>
          <w:bCs/>
          <w:sz w:val="24"/>
          <w:szCs w:val="24"/>
        </w:rPr>
      </w:pPr>
      <w:r>
        <w:rPr>
          <w:rFonts w:hint="default" w:ascii="Gotham Pro" w:hAnsi="Gotham Pro" w:cs="Gotham Pro"/>
          <w:b/>
          <w:bCs/>
          <w:sz w:val="24"/>
          <w:szCs w:val="24"/>
        </w:rPr>
        <w:t xml:space="preserve">4. </w:t>
      </w:r>
      <w:r>
        <w:rPr>
          <w:rFonts w:hint="default" w:ascii="Gotham Pro" w:hAnsi="Gotham Pro" w:cs="Gotham Pro"/>
          <w:b/>
          <w:bCs/>
          <w:sz w:val="24"/>
          <w:szCs w:val="24"/>
          <w:lang w:val="ru-RU"/>
        </w:rPr>
        <w:t>Утверждённые</w:t>
      </w:r>
      <w:r>
        <w:rPr>
          <w:rFonts w:hint="default" w:ascii="Gotham Pro" w:hAnsi="Gotham Pro" w:cs="Gotham Pro"/>
          <w:b/>
          <w:bCs/>
          <w:sz w:val="24"/>
          <w:szCs w:val="24"/>
        </w:rPr>
        <w:t xml:space="preserve"> документами территориального планирования РФ, документами территориального планирования РБ сведения о видах, назначении и наименованиях планируемых для размещения на территориях поселения объектов федерального значения, объектов регионального значения, их основные характеристики, местоположение, характеристики ЗОУИТ, реквизиты указанных документов территориального планирования</w:t>
      </w:r>
    </w:p>
    <w:p>
      <w:pPr>
        <w:pStyle w:val="11"/>
        <w:ind w:left="0" w:leftChars="0" w:firstLine="439" w:firstLineChars="183"/>
        <w:jc w:val="both"/>
        <w:rPr>
          <w:rFonts w:hint="default" w:ascii="Gotham Pro" w:hAnsi="Gotham Pro" w:cs="Gotham Pro"/>
          <w:b/>
          <w:bCs/>
          <w:sz w:val="24"/>
          <w:szCs w:val="24"/>
        </w:rPr>
      </w:pPr>
    </w:p>
    <w:p>
      <w:pPr>
        <w:pStyle w:val="11"/>
        <w:ind w:left="0" w:leftChars="0" w:firstLine="439" w:firstLineChars="183"/>
        <w:jc w:val="both"/>
        <w:rPr>
          <w:rFonts w:hint="default" w:ascii="Gotham Pro" w:hAnsi="Gotham Pro" w:cs="Gotham Pro"/>
          <w:b/>
          <w:bCs/>
          <w:sz w:val="24"/>
          <w:szCs w:val="24"/>
        </w:rPr>
      </w:pPr>
      <w:r>
        <w:rPr>
          <w:rFonts w:hint="default" w:ascii="Gotham Pro" w:hAnsi="Gotham Pro" w:cs="Gotham Pro"/>
          <w:b/>
          <w:bCs/>
          <w:sz w:val="24"/>
          <w:szCs w:val="24"/>
        </w:rPr>
        <w:t>4.1. Объекты федерального значения</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Во время подготовки генерального плана рассмотрены документы территориального планирования РФ, в том числе:</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 Схема территориального планирования РФ в области энергетики, утвержденная распоряжением Правительства РФ от 01.08.2016 № 1634-р;</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 Схема территориального планирования РФ в области высшего образования, утвержденная распоряжением Правительства РФ от 26.02.2013 № 247-р;</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 Схема территориального планирования РФ в области здравоохранения, утвержденная распоряжением Правительства РФ от 28.12.2012 № 2607-р;</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 Схема территориального планирования РФ в области федерального транспорта (в части трубопроводного транспорта), утвержденная распоряжением Правительства РФ от 06.05.2015 № 816-р;</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 Схема территориального планирования РФ 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утвержденная распоряжением Правительства РФ от 19.03.2013 № 384-р.</w:t>
      </w:r>
    </w:p>
    <w:p>
      <w:pPr>
        <w:pStyle w:val="11"/>
        <w:spacing w:line="276" w:lineRule="auto"/>
        <w:ind w:left="0" w:leftChars="0" w:firstLine="439" w:firstLineChars="183"/>
        <w:jc w:val="both"/>
        <w:rPr>
          <w:rFonts w:hint="default" w:ascii="Gotham Pro" w:hAnsi="Gotham Pro" w:cs="Gotham Pro"/>
          <w:sz w:val="24"/>
          <w:szCs w:val="24"/>
        </w:rPr>
      </w:pPr>
      <w:r>
        <w:rPr>
          <w:rFonts w:hint="default" w:ascii="Gotham Pro" w:hAnsi="Gotham Pro" w:cs="Gotham Pro"/>
          <w:sz w:val="24"/>
          <w:szCs w:val="24"/>
        </w:rPr>
        <w:t xml:space="preserve">Исходя из анализа указанных документов следует, что </w:t>
      </w:r>
      <w:r>
        <w:rPr>
          <w:rFonts w:hint="default" w:ascii="Gotham Pro" w:hAnsi="Gotham Pro" w:cs="Gotham Pro"/>
          <w:sz w:val="24"/>
          <w:szCs w:val="24"/>
          <w:lang w:eastAsia="en-US"/>
        </w:rPr>
        <w:t xml:space="preserve">на территории МО СП «Сосново-Озерское» планируется размещение объектов федерального значения в области </w:t>
      </w:r>
      <w:r>
        <w:rPr>
          <w:rFonts w:hint="default" w:ascii="Gotham Pro" w:hAnsi="Gotham Pro" w:cs="Gotham Pro"/>
          <w:sz w:val="24"/>
          <w:szCs w:val="24"/>
        </w:rPr>
        <w:t>федерального транспорта и в области энергетики (таблицы 4.1.-1 и 4.1.-2).</w:t>
      </w: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spacing w:line="276" w:lineRule="auto"/>
        <w:ind w:firstLine="567"/>
        <w:jc w:val="both"/>
        <w:rPr>
          <w:rFonts w:ascii="Times New Roman" w:hAnsi="Times New Roman"/>
          <w:sz w:val="28"/>
          <w:szCs w:val="28"/>
        </w:rPr>
      </w:pPr>
    </w:p>
    <w:p>
      <w:pPr>
        <w:pStyle w:val="11"/>
        <w:ind w:firstLine="567"/>
        <w:jc w:val="center"/>
        <w:rPr>
          <w:rFonts w:hint="default" w:ascii="Gotham Pro" w:hAnsi="Gotham Pro" w:cs="Gotham Pro"/>
          <w:sz w:val="20"/>
          <w:szCs w:val="20"/>
        </w:rPr>
      </w:pPr>
      <w:r>
        <w:rPr>
          <w:rFonts w:hint="default" w:ascii="Gotham Pro" w:hAnsi="Gotham Pro" w:cs="Gotham Pro"/>
          <w:sz w:val="20"/>
          <w:szCs w:val="20"/>
        </w:rPr>
        <w:t>Объект федерального значения в области федерального транспорта,</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планируемый для размещения на территории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4.1.-1</w:t>
      </w:r>
    </w:p>
    <w:tbl>
      <w:tblPr>
        <w:tblStyle w:val="3"/>
        <w:tblW w:w="497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90"/>
        <w:gridCol w:w="3682"/>
        <w:gridCol w:w="1957"/>
        <w:gridCol w:w="1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76" w:type="pct"/>
            <w:shd w:val="clear" w:color="auto" w:fill="auto"/>
            <w:vAlign w:val="top"/>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en-US" w:eastAsia="en-US"/>
              </w:rPr>
              <w:t>Наименование</w:t>
            </w:r>
            <w:r>
              <w:rPr>
                <w:rFonts w:hint="default" w:ascii="Gotham Pro" w:hAnsi="Gotham Pro" w:cs="Gotham Pro"/>
                <w:sz w:val="20"/>
                <w:szCs w:val="20"/>
                <w:lang w:eastAsia="en-US"/>
              </w:rPr>
              <w:t xml:space="preserve"> и </w:t>
            </w:r>
            <w:r>
              <w:rPr>
                <w:rFonts w:hint="default" w:ascii="Gotham Pro" w:hAnsi="Gotham Pro" w:cs="Gotham Pro"/>
                <w:sz w:val="20"/>
                <w:szCs w:val="20"/>
                <w:lang w:val="en-US" w:eastAsia="en-US"/>
              </w:rPr>
              <w:t>характеристики объекта</w:t>
            </w:r>
          </w:p>
        </w:tc>
        <w:tc>
          <w:tcPr>
            <w:tcW w:w="1896" w:type="pct"/>
            <w:shd w:val="clear" w:color="auto" w:fill="auto"/>
            <w:vAlign w:val="top"/>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en-US" w:eastAsia="en-US"/>
              </w:rPr>
              <w:t>Местоположение</w:t>
            </w:r>
          </w:p>
        </w:tc>
        <w:tc>
          <w:tcPr>
            <w:tcW w:w="1007" w:type="pct"/>
            <w:shd w:val="clear" w:color="auto" w:fill="auto"/>
            <w:vAlign w:val="top"/>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en-US" w:eastAsia="en-US"/>
              </w:rPr>
              <w:t>Основное назначение</w:t>
            </w:r>
          </w:p>
        </w:tc>
        <w:tc>
          <w:tcPr>
            <w:tcW w:w="1019" w:type="pct"/>
            <w:shd w:val="clear" w:color="auto" w:fill="auto"/>
            <w:vAlign w:val="top"/>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ru-RU" w:eastAsia="en-US"/>
              </w:rPr>
              <w:t>Характеристики ЗОУИТ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76"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896"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007"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1019"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4"/>
            <w:shd w:val="clear" w:color="auto" w:fill="auto"/>
            <w:vAlign w:val="top"/>
          </w:tcPr>
          <w:p>
            <w:pPr>
              <w:pStyle w:val="20"/>
              <w:spacing w:line="276" w:lineRule="auto"/>
              <w:ind w:firstLine="0" w:firstLineChars="0"/>
              <w:jc w:val="center"/>
              <w:rPr>
                <w:rFonts w:hint="default" w:ascii="Gotham Pro" w:hAnsi="Gotham Pro" w:eastAsia="Times New Roman" w:cs="Gotham Pro"/>
                <w:sz w:val="20"/>
                <w:szCs w:val="20"/>
                <w:lang w:val="ru-RU" w:eastAsia="ru-RU" w:bidi="ar-SA"/>
              </w:rPr>
            </w:pPr>
            <w:r>
              <w:rPr>
                <w:rFonts w:hint="default" w:ascii="Gotham Pro" w:hAnsi="Gotham Pro" w:cs="Gotham Pro"/>
                <w:b/>
                <w:bCs/>
                <w:sz w:val="20"/>
                <w:szCs w:val="20"/>
                <w:lang w:eastAsia="en-US"/>
              </w:rPr>
              <w:t>Строительство новых железнодорожных линий, протяженность которых необходимо определить при проектировании: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76" w:type="pct"/>
            <w:shd w:val="clear" w:color="auto" w:fill="auto"/>
            <w:vAlign w:val="top"/>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Могзон - Новый Уоян протяженностью 700 км</w:t>
            </w:r>
          </w:p>
        </w:tc>
        <w:tc>
          <w:tcPr>
            <w:tcW w:w="1896" w:type="pct"/>
            <w:shd w:val="clear" w:color="auto" w:fill="auto"/>
            <w:vAlign w:val="center"/>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Северо-Байкальский, Баунтовский эвенкийский, Еравнинский районы Республики Бурятия, Хилокский район Забайкальского края</w:t>
            </w:r>
          </w:p>
        </w:tc>
        <w:tc>
          <w:tcPr>
            <w:tcW w:w="1007" w:type="pct"/>
            <w:shd w:val="clear" w:color="auto" w:fill="auto"/>
            <w:vAlign w:val="center"/>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eastAsia="en-US"/>
              </w:rPr>
              <w:t>строительство железнодорож</w:t>
            </w:r>
            <w:r>
              <w:rPr>
                <w:rFonts w:hint="default" w:ascii="Gotham Pro" w:hAnsi="Gotham Pro" w:cs="Gotham Pro"/>
                <w:sz w:val="20"/>
                <w:szCs w:val="20"/>
                <w:lang w:val="ru-RU" w:eastAsia="en-US"/>
              </w:rPr>
              <w:t>-</w:t>
            </w:r>
            <w:r>
              <w:rPr>
                <w:rFonts w:hint="default" w:ascii="Gotham Pro" w:hAnsi="Gotham Pro" w:cs="Gotham Pro"/>
                <w:sz w:val="20"/>
                <w:szCs w:val="20"/>
                <w:lang w:eastAsia="en-US"/>
              </w:rPr>
              <w:t>ных линий в районах нового освоения</w:t>
            </w:r>
          </w:p>
        </w:tc>
        <w:tc>
          <w:tcPr>
            <w:tcW w:w="1019" w:type="pct"/>
            <w:shd w:val="clear" w:color="auto" w:fill="auto"/>
            <w:vAlign w:val="center"/>
          </w:tcPr>
          <w:p>
            <w:pPr>
              <w:pStyle w:val="7"/>
              <w:bidi w:val="0"/>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lang w:val="ru-RU" w:eastAsia="en-US"/>
              </w:rPr>
              <w:t>Охранная зона железной дороги</w:t>
            </w:r>
          </w:p>
        </w:tc>
      </w:tr>
    </w:tbl>
    <w:p>
      <w:pPr>
        <w:pStyle w:val="11"/>
        <w:spacing w:line="276" w:lineRule="auto"/>
        <w:ind w:firstLine="567"/>
        <w:jc w:val="right"/>
        <w:rPr>
          <w:rFonts w:hint="default" w:ascii="Gotham Pro" w:hAnsi="Gotham Pro" w:cs="Gotham Pro"/>
          <w:sz w:val="20"/>
          <w:szCs w:val="20"/>
        </w:rPr>
      </w:pPr>
    </w:p>
    <w:p>
      <w:pPr>
        <w:pStyle w:val="11"/>
        <w:ind w:firstLine="567"/>
        <w:jc w:val="center"/>
        <w:rPr>
          <w:rFonts w:hint="default" w:ascii="Gotham Pro" w:hAnsi="Gotham Pro" w:cs="Gotham Pro"/>
          <w:sz w:val="20"/>
          <w:szCs w:val="20"/>
        </w:rPr>
      </w:pPr>
      <w:r>
        <w:rPr>
          <w:rFonts w:hint="default" w:ascii="Gotham Pro" w:hAnsi="Gotham Pro" w:cs="Gotham Pro"/>
          <w:sz w:val="20"/>
          <w:szCs w:val="20"/>
        </w:rPr>
        <w:t>Объект федерального значения в области энергетики,</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планируемый для размещения на территории МО СП «Сосново-Озерское»</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4.1.-2</w:t>
      </w:r>
    </w:p>
    <w:tbl>
      <w:tblPr>
        <w:tblStyle w:val="3"/>
        <w:tblW w:w="4974"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742"/>
        <w:gridCol w:w="2843"/>
        <w:gridCol w:w="3261"/>
        <w:gridCol w:w="18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97" w:type="pct"/>
            <w:shd w:val="clear" w:color="auto" w:fill="auto"/>
            <w:vAlign w:val="top"/>
          </w:tcPr>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eastAsia="en-US"/>
              </w:rPr>
              <w:t>Номер и н</w:t>
            </w:r>
            <w:r>
              <w:rPr>
                <w:rFonts w:hint="default" w:ascii="Gotham Pro" w:hAnsi="Gotham Pro" w:cs="Gotham Pro"/>
                <w:sz w:val="20"/>
                <w:szCs w:val="20"/>
                <w:lang w:val="en-US" w:eastAsia="en-US"/>
              </w:rPr>
              <w:t>аименование</w:t>
            </w:r>
            <w:r>
              <w:rPr>
                <w:rFonts w:hint="default" w:ascii="Gotham Pro" w:hAnsi="Gotham Pro" w:cs="Gotham Pro"/>
                <w:sz w:val="20"/>
                <w:szCs w:val="20"/>
                <w:lang w:val="ru-RU" w:eastAsia="en-US"/>
              </w:rPr>
              <w:t xml:space="preserve"> объекта</w:t>
            </w:r>
          </w:p>
        </w:tc>
        <w:tc>
          <w:tcPr>
            <w:tcW w:w="1465" w:type="pct"/>
            <w:shd w:val="clear" w:color="auto" w:fill="auto"/>
            <w:vAlign w:val="top"/>
          </w:tcPr>
          <w:p>
            <w:pPr>
              <w:widowControl w:val="0"/>
              <w:autoSpaceDE w:val="0"/>
              <w:autoSpaceDN w:val="0"/>
              <w:spacing w:after="0" w:line="240" w:lineRule="auto"/>
              <w:jc w:val="center"/>
              <w:rPr>
                <w:rFonts w:hint="default" w:ascii="Gotham Pro" w:hAnsi="Gotham Pro" w:cs="Gotham Pro"/>
                <w:sz w:val="20"/>
                <w:szCs w:val="20"/>
                <w:lang w:val="en-US" w:eastAsia="en-US"/>
              </w:rPr>
            </w:pPr>
            <w:r>
              <w:rPr>
                <w:rFonts w:hint="default" w:ascii="Gotham Pro" w:hAnsi="Gotham Pro" w:cs="Gotham Pro"/>
                <w:sz w:val="20"/>
                <w:szCs w:val="20"/>
                <w:lang w:val="en-US" w:eastAsia="en-US"/>
              </w:rPr>
              <w:t>Местоположение</w:t>
            </w:r>
          </w:p>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p>
        </w:tc>
        <w:tc>
          <w:tcPr>
            <w:tcW w:w="1681" w:type="pct"/>
            <w:shd w:val="clear" w:color="auto" w:fill="auto"/>
            <w:vAlign w:val="top"/>
          </w:tcPr>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en-US" w:eastAsia="en-US"/>
              </w:rPr>
              <w:t>Основное</w:t>
            </w:r>
            <w:r>
              <w:rPr>
                <w:rFonts w:hint="default" w:ascii="Gotham Pro" w:hAnsi="Gotham Pro" w:cs="Gotham Pro"/>
                <w:sz w:val="20"/>
                <w:szCs w:val="20"/>
                <w:lang w:val="ru-RU" w:eastAsia="en-US"/>
              </w:rPr>
              <w:t xml:space="preserve"> </w:t>
            </w:r>
            <w:r>
              <w:rPr>
                <w:rFonts w:hint="default" w:ascii="Gotham Pro" w:hAnsi="Gotham Pro" w:cs="Gotham Pro"/>
                <w:sz w:val="20"/>
                <w:szCs w:val="20"/>
                <w:lang w:val="en-US" w:eastAsia="en-US"/>
              </w:rPr>
              <w:t>назначение</w:t>
            </w:r>
          </w:p>
        </w:tc>
        <w:tc>
          <w:tcPr>
            <w:tcW w:w="955" w:type="pct"/>
            <w:shd w:val="clear" w:color="auto" w:fill="auto"/>
            <w:vAlign w:val="top"/>
          </w:tcPr>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eastAsia="en-US"/>
              </w:rPr>
              <w:t>Характеристики ЗОУИТ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89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146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681"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955"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5000" w:type="pct"/>
            <w:gridSpan w:val="4"/>
            <w:shd w:val="clear" w:color="auto" w:fill="auto"/>
            <w:vAlign w:val="top"/>
          </w:tcPr>
          <w:p>
            <w:pPr>
              <w:pStyle w:val="20"/>
              <w:spacing w:line="276" w:lineRule="auto"/>
              <w:ind w:firstLine="0" w:firstLineChars="0"/>
              <w:jc w:val="center"/>
              <w:rPr>
                <w:rFonts w:hint="default" w:ascii="Gotham Pro" w:hAnsi="Gotham Pro" w:eastAsia="Times New Roman" w:cs="Gotham Pro"/>
                <w:sz w:val="20"/>
                <w:szCs w:val="20"/>
                <w:lang w:val="ru-RU" w:eastAsia="ru-RU" w:bidi="ar-SA"/>
              </w:rPr>
            </w:pPr>
            <w:r>
              <w:rPr>
                <w:rFonts w:hint="default" w:ascii="Gotham Pro" w:hAnsi="Gotham Pro" w:cs="Gotham Pro"/>
                <w:b/>
                <w:bCs/>
                <w:sz w:val="20"/>
                <w:szCs w:val="20"/>
                <w:lang w:eastAsia="en-US"/>
              </w:rPr>
              <w:t>Строительство новых железнодорожных линий, протяженность которых необходимо определить при проектировании: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897" w:type="pct"/>
            <w:shd w:val="clear" w:color="auto" w:fill="auto"/>
            <w:vAlign w:val="top"/>
          </w:tcPr>
          <w:p>
            <w:pPr>
              <w:widowControl w:val="0"/>
              <w:autoSpaceDE w:val="0"/>
              <w:autoSpaceDN w:val="0"/>
              <w:spacing w:after="0" w:line="240" w:lineRule="auto"/>
              <w:rPr>
                <w:rFonts w:hint="default" w:ascii="Gotham Pro" w:hAnsi="Gotham Pro" w:cs="Gotham Pro"/>
                <w:sz w:val="20"/>
                <w:szCs w:val="20"/>
                <w:lang w:val="ru-RU" w:eastAsia="en-US"/>
              </w:rPr>
            </w:pPr>
            <w:r>
              <w:rPr>
                <w:rFonts w:hint="default" w:ascii="Gotham Pro" w:hAnsi="Gotham Pro" w:cs="Gotham Pro"/>
                <w:sz w:val="20"/>
                <w:szCs w:val="20"/>
                <w:lang w:val="ru-RU" w:eastAsia="en-US"/>
              </w:rPr>
              <w:t>ВЛ-1342,</w:t>
            </w:r>
          </w:p>
          <w:p>
            <w:pPr>
              <w:widowControl w:val="0"/>
              <w:autoSpaceDE w:val="0"/>
              <w:autoSpaceDN w:val="0"/>
              <w:spacing w:after="0" w:line="240" w:lineRule="auto"/>
              <w:rPr>
                <w:rFonts w:hint="default" w:ascii="Gotham Pro" w:hAnsi="Gotham Pro" w:cs="Gotham Pro"/>
                <w:sz w:val="20"/>
                <w:szCs w:val="20"/>
                <w:lang w:val="ru-RU" w:eastAsia="en-US"/>
              </w:rPr>
            </w:pPr>
          </w:p>
          <w:p>
            <w:pPr>
              <w:widowControl w:val="0"/>
              <w:autoSpaceDE w:val="0"/>
              <w:autoSpaceDN w:val="0"/>
              <w:spacing w:after="0" w:line="240"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eastAsia="en-US"/>
              </w:rPr>
              <w:t xml:space="preserve">ВЛ 220 кВ Чита - Озерная </w:t>
            </w:r>
            <w:r>
              <w:rPr>
                <w:rFonts w:hint="default" w:ascii="Gotham Pro" w:hAnsi="Gotham Pro" w:cs="Gotham Pro"/>
                <w:sz w:val="20"/>
                <w:szCs w:val="20"/>
                <w:lang w:val="en-US" w:eastAsia="en-US"/>
              </w:rPr>
              <w:t>I</w:t>
            </w:r>
            <w:r>
              <w:rPr>
                <w:rFonts w:hint="default" w:ascii="Gotham Pro" w:hAnsi="Gotham Pro" w:cs="Gotham Pro"/>
                <w:sz w:val="20"/>
                <w:szCs w:val="20"/>
                <w:lang w:val="ru-RU" w:eastAsia="en-US"/>
              </w:rPr>
              <w:t xml:space="preserve"> и </w:t>
            </w:r>
            <w:r>
              <w:rPr>
                <w:rFonts w:hint="default" w:ascii="Gotham Pro" w:hAnsi="Gotham Pro" w:cs="Gotham Pro"/>
                <w:sz w:val="20"/>
                <w:szCs w:val="20"/>
                <w:lang w:val="en-US" w:eastAsia="en-US"/>
              </w:rPr>
              <w:t>II</w:t>
            </w:r>
            <w:r>
              <w:rPr>
                <w:rFonts w:hint="default" w:ascii="Gotham Pro" w:hAnsi="Gotham Pro" w:cs="Gotham Pro"/>
                <w:sz w:val="20"/>
                <w:szCs w:val="20"/>
                <w:lang w:val="ru-RU" w:eastAsia="en-US"/>
              </w:rPr>
              <w:t xml:space="preserve"> цепь</w:t>
            </w:r>
          </w:p>
        </w:tc>
        <w:tc>
          <w:tcPr>
            <w:tcW w:w="1465" w:type="pct"/>
            <w:shd w:val="clear" w:color="auto" w:fill="auto"/>
            <w:vAlign w:val="top"/>
          </w:tcPr>
          <w:p>
            <w:pPr>
              <w:widowControl w:val="0"/>
              <w:autoSpaceDE w:val="0"/>
              <w:autoSpaceDN w:val="0"/>
              <w:spacing w:after="0" w:line="240" w:lineRule="auto"/>
              <w:jc w:val="center"/>
              <w:rPr>
                <w:rFonts w:hint="default" w:ascii="Gotham Pro" w:hAnsi="Gotham Pro" w:cs="Gotham Pro"/>
                <w:sz w:val="20"/>
                <w:szCs w:val="20"/>
                <w:lang w:val="ru-RU" w:eastAsia="en-US"/>
              </w:rPr>
            </w:pPr>
            <w:r>
              <w:rPr>
                <w:rFonts w:hint="default" w:ascii="Gotham Pro" w:hAnsi="Gotham Pro" w:cs="Gotham Pro"/>
                <w:sz w:val="20"/>
                <w:szCs w:val="20"/>
                <w:lang w:val="ru-RU" w:eastAsia="en-US"/>
              </w:rPr>
              <w:t>городской округ город Чита, Арахлейское сельское поселение, Беклемишевское сельское поселение, Ингодинское сельское поселение, Яблоновское сельское поселение, Читинский муниципальный район, Забайкальский край;</w:t>
            </w:r>
          </w:p>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b/>
                <w:bCs/>
                <w:sz w:val="20"/>
                <w:szCs w:val="20"/>
                <w:lang w:val="ru-RU" w:eastAsia="en-US"/>
              </w:rPr>
              <w:t>Сосново-Озерское сельское поселение</w:t>
            </w:r>
            <w:r>
              <w:rPr>
                <w:rFonts w:hint="default" w:ascii="Gotham Pro" w:hAnsi="Gotham Pro" w:cs="Gotham Pro"/>
                <w:sz w:val="20"/>
                <w:szCs w:val="20"/>
                <w:lang w:val="ru-RU" w:eastAsia="en-US"/>
              </w:rPr>
              <w:t>, Ширингинское сельское поселение, Гундинское сельское поселение, сельское поселение Озерное, Еравнинский муниципальный район, Республика Бурятия</w:t>
            </w:r>
          </w:p>
        </w:tc>
        <w:tc>
          <w:tcPr>
            <w:tcW w:w="1681" w:type="pct"/>
            <w:shd w:val="clear" w:color="auto" w:fill="auto"/>
            <w:vAlign w:val="top"/>
          </w:tcPr>
          <w:p>
            <w:pPr>
              <w:widowControl w:val="0"/>
              <w:autoSpaceDE w:val="0"/>
              <w:autoSpaceDN w:val="0"/>
              <w:spacing w:after="0" w:line="240" w:lineRule="auto"/>
              <w:jc w:val="center"/>
              <w:rPr>
                <w:rFonts w:hint="default" w:ascii="Gotham Pro" w:hAnsi="Gotham Pro" w:cs="Gotham Pro"/>
                <w:sz w:val="20"/>
                <w:szCs w:val="20"/>
                <w:lang w:val="ru-RU" w:eastAsia="en-US"/>
              </w:rPr>
            </w:pPr>
            <w:r>
              <w:rPr>
                <w:rFonts w:hint="default" w:ascii="Gotham Pro" w:hAnsi="Gotham Pro" w:cs="Gotham Pro"/>
                <w:sz w:val="20"/>
                <w:szCs w:val="20"/>
                <w:lang w:val="ru-RU" w:eastAsia="en-US"/>
              </w:rPr>
              <w:t>Повышение надежности электроснабжения потребителей Республики Бурятия;</w:t>
            </w:r>
          </w:p>
          <w:p>
            <w:pPr>
              <w:widowControl w:val="0"/>
              <w:autoSpaceDE w:val="0"/>
              <w:autoSpaceDN w:val="0"/>
              <w:spacing w:after="0" w:line="240" w:lineRule="auto"/>
              <w:jc w:val="center"/>
              <w:rPr>
                <w:rFonts w:hint="default" w:ascii="Gotham Pro" w:hAnsi="Gotham Pro" w:cs="Gotham Pro"/>
                <w:sz w:val="20"/>
                <w:szCs w:val="20"/>
                <w:lang w:val="ru-RU" w:eastAsia="en-US"/>
              </w:rPr>
            </w:pPr>
            <w:r>
              <w:rPr>
                <w:rFonts w:hint="default" w:ascii="Gotham Pro" w:hAnsi="Gotham Pro" w:cs="Gotham Pro"/>
                <w:sz w:val="20"/>
                <w:szCs w:val="20"/>
                <w:lang w:val="ru-RU" w:eastAsia="en-US"/>
              </w:rPr>
              <w:t>строительство ПС 220 кВ Озерная с двумя автотрансформаторами 63 МВА каждый и РУ 110 кВ, строительство двух одноцепных ВЛ 220 кВ Чита -</w:t>
            </w:r>
          </w:p>
          <w:p>
            <w:pPr>
              <w:widowControl w:val="0"/>
              <w:autoSpaceDE w:val="0"/>
              <w:autoSpaceDN w:val="0"/>
              <w:spacing w:after="0" w:line="240" w:lineRule="auto"/>
              <w:jc w:val="center"/>
              <w:rPr>
                <w:rFonts w:hint="default" w:ascii="Gotham Pro" w:hAnsi="Gotham Pro" w:cs="Gotham Pro"/>
                <w:sz w:val="20"/>
                <w:szCs w:val="20"/>
                <w:lang w:val="ru-RU" w:eastAsia="en-US"/>
              </w:rPr>
            </w:pPr>
            <w:r>
              <w:rPr>
                <w:rFonts w:hint="default" w:ascii="Gotham Pro" w:hAnsi="Gotham Pro" w:cs="Gotham Pro"/>
                <w:sz w:val="20"/>
                <w:szCs w:val="20"/>
                <w:lang w:val="ru-RU" w:eastAsia="en-US"/>
              </w:rPr>
              <w:t>Озерная ориентировочной протяженностью 190 км каждая;</w:t>
            </w:r>
          </w:p>
          <w:p>
            <w:pPr>
              <w:widowControl w:val="0"/>
              <w:autoSpaceDE w:val="0"/>
              <w:autoSpaceDN w:val="0"/>
              <w:spacing w:after="0" w:line="240" w:lineRule="auto"/>
              <w:jc w:val="center"/>
              <w:rPr>
                <w:rFonts w:hint="default" w:ascii="Gotham Pro" w:hAnsi="Gotham Pro" w:cs="Gotham Pro"/>
                <w:sz w:val="20"/>
                <w:szCs w:val="20"/>
                <w:lang w:val="ru-RU" w:eastAsia="en-US"/>
              </w:rPr>
            </w:pPr>
            <w:r>
              <w:rPr>
                <w:rFonts w:hint="default" w:ascii="Gotham Pro" w:hAnsi="Gotham Pro" w:cs="Gotham Pro"/>
                <w:sz w:val="20"/>
                <w:szCs w:val="20"/>
                <w:lang w:val="ru-RU" w:eastAsia="en-US"/>
              </w:rPr>
              <w:t>реконструкция ПС 220 кВ Чита (расширение ОРУ 220 кВ на две линейные ячейки), для технологического присоединения</w:t>
            </w:r>
          </w:p>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eastAsia="en-US"/>
              </w:rPr>
              <w:t>энергопринимающих устройств общества с ограниченной ответственностью «Озерное»</w:t>
            </w:r>
          </w:p>
        </w:tc>
        <w:tc>
          <w:tcPr>
            <w:tcW w:w="955" w:type="pct"/>
            <w:shd w:val="clear" w:color="auto" w:fill="auto"/>
            <w:vAlign w:val="top"/>
          </w:tcPr>
          <w:p>
            <w:pPr>
              <w:widowControl w:val="0"/>
              <w:autoSpaceDE w:val="0"/>
              <w:autoSpaceDN w:val="0"/>
              <w:spacing w:after="0" w:line="240"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val="ru-RU" w:eastAsia="en-US"/>
              </w:rPr>
              <w:t>Охранная зона</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Оценка возможного влияния объекта федерального значения:  обеспечение устойчивого развития транспорта, реализация инвестиционных проектов в сфере добычи полезных ископаемых.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Оценка возможного влияния объектов энергетики: повышение надежности электроснабжения потребителей РБ.</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4.2. Объекты регионального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соответствии со статьей 14 Градостроительного кодекса схемы территориального планирования субъекта РФ содержат положения о территориальном планировании и карты планируемого размещения объектов регионального значения, относящихся к следующим областям: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1) транспорт (железнодорожный, водный, воздушный транспорт), автомобильные дороги регионального или межмуниципального 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2) предупреждение чрезвычайных ситуаций межмуниципального и регионального характера, стихийных бедствий, эпидемий и ликвидация их последствий;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3) образование;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4) здравоохранение;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5) физическая культура и спорт;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5.1) энергетика;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6) иные области в соответствии с полномочиями субъектов Российской Федерации.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силу статьи 44 Федерального закона от 21.12.2021 № 414-ФЗ «Об общих принципах организации публичной власти в субъектах Российской Федерации» к полномочиям органов государственной власти субъекта РФ по осуществляемым данными органами самостоятельно за счет средств бюджета субъекта РФ (за исключением субвенций из федерального бюджета), отнесены: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организация оказания населению субъекта РФ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проведения медицинских экспертиз, медицинских осмотров и медицинских освидетельствований в медицинских организациях, подведомственных исполнительным органам субъекта РФ, организации обеспечения полноценным питанием беременных женщин, кормящих матерей, а также детей в возрасте до трех лет, по заключению врачей;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осуществление дорожной деятельности в отношении автомобильных дорог регионального или межмуниципального значения, организация дорожного движения, обеспечение безопасности дорожного движения на них, включая создание и обеспечение функционирования парковок (парковочных мест), предоставляемых на платной основе или без взимания платы;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 организация и осуществление межмуниципальных инвестиционных проектов, а также инвестиционных проектов, направленных на развитие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социальной и инженерной инфраструктуры муниципальных образований, утверждения порядка заключения соглашений о защите и поощрении капиталовложений, стороной которых не является РФ, подписания в случаях и порядке, установленных федеральными законами, соглашений о защите и поощрении капиталовложений и дополнительных соглашений к ним, а также принятия решений о расторжении соглашений о защите и поощрении капиталовложений и об урегулировании вытекающих из них споров.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Согласно части 5 статьи 16 Федерального закона от 21.11.2011 № 323-ФЗ «Об основах охраны здоровья граждан в Российской Федерации» к полномочиям органов государственной власти субъектов РФ в сфере охраны здоровья относится организация оказания населению РФ первичной медико-санитарной помощи, специализированной, в том числе высокотехнологичной, медицинской помощи, скорой, в том числе скорой специализированной, медицинской помощи и паллиативной медицинской помощи в медицинских организациях, подведомственных исполнительным органам государственной власти субъекта РФ.</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xml:space="preserve">В соответствии с пунктом 3 статьи 26 Градостроительного кодекса реализация схемы территориального планирования субъекта </w:t>
      </w:r>
      <w:r>
        <w:rPr>
          <w:rFonts w:hint="default" w:ascii="Gotham Pro" w:hAnsi="Gotham Pro" w:cs="Gotham Pro"/>
          <w:sz w:val="24"/>
          <w:szCs w:val="24"/>
        </w:rPr>
        <w:t>РФ</w:t>
      </w:r>
      <w:r>
        <w:rPr>
          <w:rFonts w:hint="default" w:ascii="Gotham Pro" w:hAnsi="Gotham Pro" w:eastAsia="Times New Roman" w:cs="Gotham Pro"/>
          <w:sz w:val="24"/>
          <w:szCs w:val="24"/>
          <w:lang w:eastAsia="en-US"/>
        </w:rPr>
        <w:t xml:space="preserve"> осуществляется путем выполнения мероприятий, которые предусмотрены, в том числе и инвестиционными Программами субъектов естественных монополий.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ГП РБ «Развитие транспорта, энергетики и дорожного хозяйства», утвержденная постановлением Правительства РБ от 09.04.2013 № 179, содержит подпрограмму «Газификация жилищно-коммунального хозяйства, промышленных и иных организаций Республики Бурятия», целями которой являются повышение экологической безопасности РБ и повышение уровня газификации населенных пунктов республики, повышение уровня газификации жилищно-коммунального хозяйства, промышленных и иных организаций.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В таблице 4.2.-1 показаны объекты регионального значения, планируемые для размещения на территории МО СП «Сосново-Озерское» в соответствии со Схемой территориального планирования Республики Бурятия.</w:t>
      </w: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ind w:firstLine="567"/>
        <w:jc w:val="both"/>
        <w:rPr>
          <w:rFonts w:ascii="Times New Roman" w:hAnsi="Times New Roman" w:eastAsia="Times New Roman" w:cs="Times New Roman"/>
          <w:sz w:val="28"/>
          <w:szCs w:val="28"/>
          <w:lang w:eastAsia="en-US"/>
        </w:rPr>
      </w:pPr>
    </w:p>
    <w:p>
      <w:pPr>
        <w:pStyle w:val="11"/>
        <w:spacing w:line="276" w:lineRule="auto"/>
        <w:jc w:val="center"/>
        <w:rPr>
          <w:rFonts w:hint="default" w:ascii="Gotham Pro" w:hAnsi="Gotham Pro" w:eastAsia="Times New Roman" w:cs="Gotham Pro"/>
          <w:sz w:val="20"/>
          <w:szCs w:val="20"/>
          <w:lang w:eastAsia="en-US"/>
        </w:rPr>
      </w:pPr>
      <w:bookmarkStart w:id="11" w:name="_Hlk117492507"/>
      <w:bookmarkStart w:id="12" w:name="_Hlk117509252"/>
      <w:r>
        <w:rPr>
          <w:rFonts w:hint="default" w:ascii="Gotham Pro" w:hAnsi="Gotham Pro" w:eastAsia="Times New Roman" w:cs="Gotham Pro"/>
          <w:sz w:val="20"/>
          <w:szCs w:val="20"/>
          <w:lang w:eastAsia="en-US"/>
        </w:rPr>
        <w:t>Перечень планируемых для размещения на территории</w:t>
      </w:r>
    </w:p>
    <w:p>
      <w:pPr>
        <w:pStyle w:val="11"/>
        <w:spacing w:line="276" w:lineRule="auto"/>
        <w:jc w:val="center"/>
        <w:rPr>
          <w:rFonts w:hint="default" w:ascii="Gotham Pro" w:hAnsi="Gotham Pro" w:eastAsia="Times New Roman" w:cs="Gotham Pro"/>
          <w:sz w:val="20"/>
          <w:szCs w:val="20"/>
          <w:lang w:eastAsia="en-US"/>
        </w:rPr>
      </w:pPr>
      <w:r>
        <w:rPr>
          <w:rFonts w:hint="default" w:ascii="Gotham Pro" w:hAnsi="Gotham Pro" w:eastAsia="Times New Roman" w:cs="Gotham Pro"/>
          <w:sz w:val="20"/>
          <w:szCs w:val="20"/>
          <w:lang w:eastAsia="en-US"/>
        </w:rPr>
        <w:t>МО СП «Сосново-Озерское» объектов регионального значения</w:t>
      </w:r>
    </w:p>
    <w:p>
      <w:pPr>
        <w:pStyle w:val="11"/>
        <w:spacing w:line="276" w:lineRule="auto"/>
        <w:jc w:val="right"/>
        <w:rPr>
          <w:rFonts w:hint="default" w:ascii="Gotham Pro" w:hAnsi="Gotham Pro" w:eastAsia="Times New Roman" w:cs="Gotham Pro"/>
          <w:sz w:val="20"/>
          <w:szCs w:val="20"/>
          <w:lang w:eastAsia="en-US"/>
        </w:rPr>
      </w:pPr>
      <w:r>
        <w:rPr>
          <w:rFonts w:hint="default" w:ascii="Gotham Pro" w:hAnsi="Gotham Pro" w:eastAsia="Times New Roman" w:cs="Gotham Pro"/>
          <w:sz w:val="20"/>
          <w:szCs w:val="20"/>
          <w:lang w:eastAsia="en-US"/>
        </w:rPr>
        <w:t>таблица 4.2.-1</w:t>
      </w:r>
    </w:p>
    <w:tbl>
      <w:tblPr>
        <w:tblStyle w:val="3"/>
        <w:tblW w:w="496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2065"/>
        <w:gridCol w:w="1884"/>
        <w:gridCol w:w="2135"/>
        <w:gridCol w:w="2123"/>
        <w:gridCol w:w="14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67"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Наименование и характеристики объекта</w:t>
            </w:r>
          </w:p>
        </w:tc>
        <w:tc>
          <w:tcPr>
            <w:tcW w:w="97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Назначение объекта</w:t>
            </w:r>
          </w:p>
        </w:tc>
        <w:tc>
          <w:tcPr>
            <w:tcW w:w="110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Наименование мероприятия</w:t>
            </w:r>
          </w:p>
        </w:tc>
        <w:tc>
          <w:tcPr>
            <w:tcW w:w="1097"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Местоположение объекта</w:t>
            </w:r>
          </w:p>
        </w:tc>
        <w:tc>
          <w:tcPr>
            <w:tcW w:w="75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Характеристики ЗОУИТ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67"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97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103"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1097"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758"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7" w:type="pct"/>
            <w:shd w:val="clear" w:color="auto" w:fill="auto"/>
            <w:vAlign w:val="top"/>
          </w:tcPr>
          <w:p>
            <w:pPr>
              <w:pStyle w:val="11"/>
              <w:rPr>
                <w:rFonts w:hint="default" w:ascii="Gotham Pro" w:hAnsi="Gotham Pro" w:eastAsia="Times New Roman" w:cs="Gotham Pro"/>
                <w:sz w:val="20"/>
                <w:szCs w:val="20"/>
                <w:lang w:eastAsia="en-US"/>
              </w:rPr>
            </w:pPr>
            <w:r>
              <w:rPr>
                <w:rFonts w:hint="default" w:ascii="Gotham Pro" w:hAnsi="Gotham Pro" w:cs="Gotham Pro"/>
                <w:color w:val="000000"/>
                <w:sz w:val="20"/>
                <w:szCs w:val="20"/>
              </w:rPr>
              <w:t>Поликлиника ГБУЗ «Еравнинская центральная районная больница»</w:t>
            </w:r>
          </w:p>
          <w:p>
            <w:pPr>
              <w:pStyle w:val="11"/>
              <w:rPr>
                <w:rFonts w:hint="default" w:ascii="Gotham Pro" w:hAnsi="Gotham Pro" w:eastAsia="Times New Roman" w:cs="Gotham Pro"/>
                <w:sz w:val="20"/>
                <w:szCs w:val="20"/>
                <w:lang w:val="ru-RU" w:eastAsia="ru-RU" w:bidi="ar-SA"/>
              </w:rPr>
            </w:pPr>
          </w:p>
        </w:tc>
        <w:tc>
          <w:tcPr>
            <w:tcW w:w="97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color w:val="000000"/>
                <w:sz w:val="20"/>
                <w:szCs w:val="20"/>
              </w:rPr>
              <w:t>Обособленное структурное подразделение медицинской организации, оказывающей первичную медико-санитарную помощь</w:t>
            </w:r>
          </w:p>
        </w:tc>
        <w:tc>
          <w:tcPr>
            <w:tcW w:w="110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color w:val="000000"/>
                <w:sz w:val="20"/>
                <w:szCs w:val="20"/>
              </w:rPr>
              <w:t>Строительство поликлиники ГБУЗ «Еравнинская центральная районная больница»</w:t>
            </w:r>
          </w:p>
        </w:tc>
        <w:tc>
          <w:tcPr>
            <w:tcW w:w="1097" w:type="pct"/>
            <w:shd w:val="clear" w:color="auto" w:fill="auto"/>
            <w:vAlign w:val="top"/>
          </w:tcPr>
          <w:p>
            <w:pPr>
              <w:pStyle w:val="11"/>
              <w:jc w:val="center"/>
              <w:rPr>
                <w:rFonts w:hint="default" w:ascii="Gotham Pro" w:hAnsi="Gotham Pro" w:cs="Gotham Pro"/>
                <w:color w:val="000000"/>
                <w:sz w:val="20"/>
                <w:szCs w:val="20"/>
              </w:rPr>
            </w:pPr>
            <w:r>
              <w:rPr>
                <w:rFonts w:hint="default" w:ascii="Gotham Pro" w:hAnsi="Gotham Pro" w:cs="Gotham Pro"/>
                <w:color w:val="000000"/>
                <w:sz w:val="20"/>
                <w:szCs w:val="20"/>
              </w:rPr>
              <w:t>МО СП Сосново-Озерское,</w:t>
            </w:r>
          </w:p>
          <w:p>
            <w:pPr>
              <w:pStyle w:val="11"/>
              <w:jc w:val="center"/>
              <w:rPr>
                <w:rFonts w:hint="default" w:ascii="Gotham Pro" w:hAnsi="Gotham Pro" w:cs="Gotham Pro"/>
                <w:color w:val="000000"/>
                <w:sz w:val="20"/>
                <w:szCs w:val="20"/>
              </w:rPr>
            </w:pPr>
            <w:r>
              <w:rPr>
                <w:rFonts w:hint="default" w:ascii="Gotham Pro" w:hAnsi="Gotham Pro" w:cs="Gotham Pro"/>
                <w:color w:val="000000"/>
                <w:sz w:val="20"/>
                <w:szCs w:val="20"/>
              </w:rPr>
              <w:t>с. Сосново-Озерское,</w:t>
            </w:r>
          </w:p>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color w:val="000000"/>
                <w:sz w:val="20"/>
                <w:szCs w:val="20"/>
              </w:rPr>
              <w:t>ул. Василенко, 6 Литер А</w:t>
            </w:r>
          </w:p>
        </w:tc>
        <w:tc>
          <w:tcPr>
            <w:tcW w:w="75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Не устанавливается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7"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Патологоанатомическое отделение (морг) модульного типа</w:t>
            </w:r>
          </w:p>
        </w:tc>
        <w:tc>
          <w:tcPr>
            <w:tcW w:w="97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Медицинская организация особого типа</w:t>
            </w:r>
          </w:p>
        </w:tc>
        <w:tc>
          <w:tcPr>
            <w:tcW w:w="110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Строительство патологоанатомического отделения (морг) модульного типа в с. Сосново-Озерское Еравнинского района</w:t>
            </w:r>
          </w:p>
        </w:tc>
        <w:tc>
          <w:tcPr>
            <w:tcW w:w="1097" w:type="pct"/>
            <w:shd w:val="clear" w:color="auto" w:fill="auto"/>
            <w:vAlign w:val="top"/>
          </w:tcPr>
          <w:p>
            <w:pPr>
              <w:pStyle w:val="11"/>
              <w:jc w:val="center"/>
              <w:rPr>
                <w:rFonts w:hint="default" w:ascii="Gotham Pro" w:hAnsi="Gotham Pro" w:cs="Gotham Pro"/>
                <w:sz w:val="20"/>
                <w:szCs w:val="20"/>
                <w:highlight w:val="none"/>
              </w:rPr>
            </w:pPr>
            <w:r>
              <w:rPr>
                <w:rFonts w:hint="default" w:ascii="Gotham Pro" w:hAnsi="Gotham Pro" w:cs="Gotham Pro"/>
                <w:sz w:val="20"/>
                <w:szCs w:val="20"/>
                <w:highlight w:val="none"/>
              </w:rPr>
              <w:t>Еравнинский район,</w:t>
            </w:r>
          </w:p>
          <w:p>
            <w:pPr>
              <w:pStyle w:val="11"/>
              <w:jc w:val="center"/>
              <w:rPr>
                <w:rFonts w:hint="default" w:ascii="Gotham Pro" w:hAnsi="Gotham Pro" w:eastAsia="Times New Roman" w:cs="Gotham Pro"/>
                <w:sz w:val="20"/>
                <w:szCs w:val="20"/>
                <w:highlight w:val="none"/>
                <w:lang w:val="ru-RU" w:eastAsia="ru-RU" w:bidi="ar-SA"/>
              </w:rPr>
            </w:pPr>
            <w:r>
              <w:rPr>
                <w:rFonts w:hint="default" w:ascii="Gotham Pro" w:hAnsi="Gotham Pro" w:cs="Gotham Pro"/>
                <w:sz w:val="20"/>
                <w:szCs w:val="20"/>
                <w:highlight w:val="none"/>
              </w:rPr>
              <w:t>МО СП «Сосново-Озерское»</w:t>
            </w:r>
            <w:r>
              <w:rPr>
                <w:rFonts w:hint="default" w:ascii="Gotham Pro" w:hAnsi="Gotham Pro" w:cs="Gotham Pro"/>
                <w:sz w:val="20"/>
                <w:szCs w:val="20"/>
                <w:highlight w:val="none"/>
                <w:lang w:val="ru-RU"/>
              </w:rPr>
              <w:t>, с. Сосново-Озерское</w:t>
            </w:r>
          </w:p>
        </w:tc>
        <w:tc>
          <w:tcPr>
            <w:tcW w:w="75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Не устанавливается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7" w:type="pct"/>
            <w:shd w:val="clear" w:color="auto" w:fill="auto"/>
            <w:vAlign w:val="top"/>
          </w:tcPr>
          <w:p>
            <w:pPr>
              <w:pStyle w:val="11"/>
              <w:rPr>
                <w:rFonts w:hint="default" w:ascii="Gotham Pro" w:hAnsi="Gotham Pro" w:cs="Gotham Pro"/>
                <w:sz w:val="20"/>
                <w:szCs w:val="20"/>
              </w:rPr>
            </w:pPr>
            <w:r>
              <w:rPr>
                <w:rFonts w:hint="default" w:ascii="Gotham Pro" w:hAnsi="Gotham Pro" w:cs="Gotham Pro"/>
                <w:sz w:val="20"/>
                <w:szCs w:val="20"/>
              </w:rPr>
              <w:t>Автомобильная дорога общего пользования регионального значения Улан-Удэ – Романовка – Чита,</w:t>
            </w:r>
          </w:p>
          <w:p>
            <w:pPr>
              <w:pStyle w:val="11"/>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категория – III</w:t>
            </w:r>
          </w:p>
        </w:tc>
        <w:tc>
          <w:tcPr>
            <w:tcW w:w="97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Обеспечение транспортного сообщения</w:t>
            </w:r>
          </w:p>
        </w:tc>
        <w:tc>
          <w:tcPr>
            <w:tcW w:w="110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Реконструкция, капитальный ремонт, ремонт автомобильной дороги Улан-Удэ – Романовка – Чита</w:t>
            </w:r>
          </w:p>
        </w:tc>
        <w:tc>
          <w:tcPr>
            <w:tcW w:w="1097"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Заиграевский район; Хоринский район; </w:t>
            </w:r>
            <w:r>
              <w:rPr>
                <w:rFonts w:hint="default" w:ascii="Gotham Pro" w:hAnsi="Gotham Pro" w:cs="Gotham Pro"/>
                <w:b/>
                <w:bCs/>
                <w:sz w:val="20"/>
                <w:szCs w:val="20"/>
              </w:rPr>
              <w:t>Еравнинский район</w:t>
            </w:r>
            <w:r>
              <w:rPr>
                <w:rFonts w:hint="default" w:ascii="Gotham Pro" w:hAnsi="Gotham Pro" w:cs="Gotham Pro"/>
                <w:sz w:val="20"/>
                <w:szCs w:val="20"/>
              </w:rPr>
              <w:t>; Баунтовский эвенкийский район</w:t>
            </w:r>
          </w:p>
        </w:tc>
        <w:tc>
          <w:tcPr>
            <w:tcW w:w="75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Придорожная полоса, санитарный разрыв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7" w:type="pct"/>
            <w:shd w:val="clear" w:color="auto" w:fill="auto"/>
            <w:vAlign w:val="top"/>
          </w:tcPr>
          <w:p>
            <w:pPr>
              <w:pStyle w:val="11"/>
              <w:rPr>
                <w:rFonts w:hint="default" w:ascii="Gotham Pro" w:hAnsi="Gotham Pro" w:cs="Gotham Pro"/>
                <w:sz w:val="20"/>
                <w:szCs w:val="20"/>
              </w:rPr>
            </w:pPr>
            <w:r>
              <w:rPr>
                <w:rFonts w:hint="default" w:ascii="Gotham Pro" w:hAnsi="Gotham Pro" w:cs="Gotham Pro"/>
                <w:sz w:val="20"/>
                <w:szCs w:val="20"/>
              </w:rPr>
              <w:t>Станция приема, хранения и регазификации «Сосново-Озёрское», расчетная годовая производительность – 29,7 млн.м</w:t>
            </w:r>
            <w:r>
              <w:rPr>
                <w:rFonts w:hint="default" w:ascii="Gotham Pro" w:hAnsi="Gotham Pro" w:cs="Gotham Pro"/>
                <w:sz w:val="20"/>
                <w:szCs w:val="20"/>
                <w:vertAlign w:val="superscript"/>
              </w:rPr>
              <w:t>3</w:t>
            </w:r>
            <w:r>
              <w:rPr>
                <w:rFonts w:hint="default" w:ascii="Gotham Pro" w:hAnsi="Gotham Pro" w:cs="Gotham Pro"/>
                <w:sz w:val="20"/>
                <w:szCs w:val="20"/>
              </w:rPr>
              <w:t xml:space="preserve">/год, </w:t>
            </w:r>
          </w:p>
          <w:p>
            <w:pPr>
              <w:pStyle w:val="11"/>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по заданию на проектирование</w:t>
            </w:r>
          </w:p>
        </w:tc>
        <w:tc>
          <w:tcPr>
            <w:tcW w:w="97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Газоснабже</w:t>
            </w:r>
            <w:r>
              <w:rPr>
                <w:rFonts w:hint="default" w:ascii="Gotham Pro" w:hAnsi="Gotham Pro" w:cs="Gotham Pro"/>
                <w:sz w:val="20"/>
                <w:szCs w:val="20"/>
                <w:lang w:val="ru-RU"/>
              </w:rPr>
              <w:t>-</w:t>
            </w:r>
            <w:r>
              <w:rPr>
                <w:rFonts w:hint="default" w:ascii="Gotham Pro" w:hAnsi="Gotham Pro" w:cs="Gotham Pro"/>
                <w:sz w:val="20"/>
                <w:szCs w:val="20"/>
              </w:rPr>
              <w:t>ние населенных пунктов Еравнинского района</w:t>
            </w:r>
          </w:p>
        </w:tc>
        <w:tc>
          <w:tcPr>
            <w:tcW w:w="110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Строительство станции приема, хранения и регазификации «Сосново-Озёрское»</w:t>
            </w:r>
          </w:p>
        </w:tc>
        <w:tc>
          <w:tcPr>
            <w:tcW w:w="1097"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Еравнинский район, сельское поселение «Сосново-Озёрское»</w:t>
            </w:r>
          </w:p>
        </w:tc>
        <w:tc>
          <w:tcPr>
            <w:tcW w:w="75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Охранная зона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67" w:type="pct"/>
            <w:shd w:val="clear" w:color="auto" w:fill="auto"/>
            <w:vAlign w:val="top"/>
          </w:tcPr>
          <w:p>
            <w:pPr>
              <w:pStyle w:val="11"/>
              <w:rPr>
                <w:rFonts w:hint="default" w:ascii="Gotham Pro" w:hAnsi="Gotham Pro" w:cs="Gotham Pro"/>
                <w:sz w:val="20"/>
                <w:szCs w:val="20"/>
              </w:rPr>
            </w:pPr>
            <w:r>
              <w:rPr>
                <w:rFonts w:hint="default" w:ascii="Gotham Pro" w:hAnsi="Gotham Pro" w:cs="Gotham Pro"/>
                <w:sz w:val="20"/>
                <w:szCs w:val="20"/>
              </w:rPr>
              <w:t>Межпоселковый газопровод, протяженность – 58,7 км,</w:t>
            </w:r>
          </w:p>
          <w:p>
            <w:pPr>
              <w:pStyle w:val="11"/>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rPr>
              <w:t>по заданию на проектирование</w:t>
            </w:r>
          </w:p>
        </w:tc>
        <w:tc>
          <w:tcPr>
            <w:tcW w:w="97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Газоснабже</w:t>
            </w:r>
            <w:r>
              <w:rPr>
                <w:rFonts w:hint="default" w:ascii="Gotham Pro" w:hAnsi="Gotham Pro" w:cs="Gotham Pro"/>
                <w:sz w:val="20"/>
                <w:szCs w:val="20"/>
                <w:lang w:val="ru-RU"/>
              </w:rPr>
              <w:t>-</w:t>
            </w:r>
            <w:r>
              <w:rPr>
                <w:rFonts w:hint="default" w:ascii="Gotham Pro" w:hAnsi="Gotham Pro" w:cs="Gotham Pro"/>
                <w:sz w:val="20"/>
                <w:szCs w:val="20"/>
              </w:rPr>
              <w:t>ние населенных пунктов Еравнинского района</w:t>
            </w:r>
          </w:p>
        </w:tc>
        <w:tc>
          <w:tcPr>
            <w:tcW w:w="1103"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Строительство межпоселкового газопровода в Еравнинском районе</w:t>
            </w:r>
          </w:p>
        </w:tc>
        <w:tc>
          <w:tcPr>
            <w:tcW w:w="1097"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cs="Gotham Pro"/>
                <w:sz w:val="20"/>
                <w:szCs w:val="20"/>
              </w:rPr>
              <w:t xml:space="preserve">Еравнинский район, </w:t>
            </w:r>
            <w:r>
              <w:rPr>
                <w:rFonts w:hint="default" w:ascii="Gotham Pro" w:hAnsi="Gotham Pro" w:cs="Gotham Pro"/>
                <w:b/>
                <w:bCs/>
                <w:sz w:val="20"/>
                <w:szCs w:val="20"/>
              </w:rPr>
              <w:t>сельское поселение «Сосново-Озёрское»</w:t>
            </w:r>
            <w:r>
              <w:rPr>
                <w:rFonts w:hint="default" w:ascii="Gotham Pro" w:hAnsi="Gotham Pro" w:cs="Gotham Pro"/>
                <w:sz w:val="20"/>
                <w:szCs w:val="20"/>
              </w:rPr>
              <w:t>, сельское поселение «Ширингинское», сельское поселение «Тулдунское», сельское поселение «Гундинское», сельское поселение «Озёрное»</w:t>
            </w:r>
          </w:p>
        </w:tc>
        <w:tc>
          <w:tcPr>
            <w:tcW w:w="758" w:type="pct"/>
            <w:shd w:val="clear" w:color="auto" w:fill="auto"/>
            <w:vAlign w:val="top"/>
          </w:tcPr>
          <w:p>
            <w:pPr>
              <w:pStyle w:val="11"/>
              <w:jc w:val="center"/>
              <w:rPr>
                <w:rFonts w:hint="default" w:ascii="Gotham Pro" w:hAnsi="Gotham Pro" w:eastAsia="Times New Roman" w:cs="Gotham Pro"/>
                <w:sz w:val="20"/>
                <w:szCs w:val="20"/>
                <w:lang w:val="ru-RU" w:eastAsia="ru-RU" w:bidi="ar-SA"/>
              </w:rPr>
            </w:pPr>
            <w:r>
              <w:rPr>
                <w:rFonts w:hint="default" w:ascii="Gotham Pro" w:hAnsi="Gotham Pro" w:eastAsia="Times New Roman" w:cs="Gotham Pro"/>
                <w:sz w:val="20"/>
                <w:szCs w:val="20"/>
                <w:lang w:eastAsia="en-US"/>
              </w:rPr>
              <w:t>Охранная зона</w:t>
            </w:r>
          </w:p>
        </w:tc>
      </w:tr>
    </w:tbl>
    <w:p>
      <w:pPr>
        <w:pStyle w:val="11"/>
        <w:spacing w:line="276" w:lineRule="auto"/>
        <w:jc w:val="right"/>
        <w:rPr>
          <w:rFonts w:hint="default" w:ascii="Gotham Pro" w:hAnsi="Gotham Pro" w:eastAsia="Times New Roman" w:cs="Gotham Pro"/>
          <w:sz w:val="20"/>
          <w:szCs w:val="20"/>
          <w:lang w:eastAsia="en-US"/>
        </w:rPr>
      </w:pPr>
    </w:p>
    <w:bookmarkEnd w:id="11"/>
    <w:bookmarkEnd w:id="12"/>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Оценка возможного влияния объектов здравоохранения: обеспечение доступности медицинской помощи и повышение эффективности медицинских услуг, объемы, виды и качество которых должны соответствовать уровню заболеваемости и потребностям населения, передовым достижениям медицинской науки.</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Оценка возможного влияния объектов газификации: повышение уровня газификации населения, жилищно-коммунального хозяйства, промышленных и иных организаций; повышение надежности газоснабжения.</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Оценка возможного влияния объектов автомобильного транспорта: обеспечение устойчивого развития транспорта и дорожного хозяйства.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r>
        <w:rPr>
          <w:rFonts w:hint="default" w:ascii="Gotham Pro" w:hAnsi="Gotham Pro" w:cs="Gotham Pro"/>
          <w:b/>
          <w:bCs/>
          <w:sz w:val="24"/>
          <w:szCs w:val="24"/>
        </w:rPr>
        <w:t>5. Утвержденные документом территориального планирования муниципального района сведения о видах, назначении и наименованиях планируемых для размещения на территории поселения, входящего в состав муниципального района, объектов местного значения муниципального района, их основные характеристики, местоположение, характеристики ЗОУИТ, реквизиты указанного документа территориального планирования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В утвержденной Схеме территориального планирования Еравнинского района РБ отсутствуют актуальные объекты местного значения муниципального района, планируемые</w:t>
      </w:r>
      <w:r>
        <w:rPr>
          <w:rFonts w:hint="default" w:ascii="Gotham Pro" w:hAnsi="Gotham Pro" w:eastAsia="Times New Roman" w:cs="Gotham Pro"/>
          <w:spacing w:val="-3"/>
          <w:sz w:val="24"/>
          <w:szCs w:val="24"/>
          <w:lang w:eastAsia="en-US"/>
        </w:rPr>
        <w:t xml:space="preserve"> для</w:t>
      </w:r>
      <w:r>
        <w:rPr>
          <w:rFonts w:hint="default" w:ascii="Gotham Pro" w:hAnsi="Gotham Pro" w:eastAsia="Times New Roman" w:cs="Gotham Pro"/>
          <w:sz w:val="24"/>
          <w:szCs w:val="24"/>
          <w:lang w:eastAsia="en-US"/>
        </w:rPr>
        <w:t xml:space="preserve"> размещения на территории МО СП «Сосново-Озерское».</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center"/>
        <w:textAlignment w:val="auto"/>
        <w:rPr>
          <w:rFonts w:hint="default" w:ascii="Gotham Pro" w:hAnsi="Gotham Pro" w:cs="Gotham Pro"/>
          <w:b/>
          <w:bCs/>
          <w:sz w:val="24"/>
          <w:szCs w:val="24"/>
        </w:rPr>
      </w:pPr>
      <w:r>
        <w:rPr>
          <w:rFonts w:hint="default" w:ascii="Gotham Pro" w:hAnsi="Gotham Pro" w:cs="Gotham Pro"/>
          <w:b/>
          <w:bCs/>
          <w:sz w:val="24"/>
          <w:szCs w:val="24"/>
        </w:rPr>
        <w:t>6. Зоны с особыми условиями использования территорий</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соответствии со статьей 1 Градостроительного кодекса </w:t>
      </w:r>
      <w:r>
        <w:rPr>
          <w:rFonts w:hint="default" w:ascii="Gotham Pro" w:hAnsi="Gotham Pro" w:cs="Gotham Pro"/>
          <w:sz w:val="24"/>
          <w:szCs w:val="24"/>
          <w:lang w:val="ru-RU"/>
        </w:rPr>
        <w:t>ЗОУИТ</w:t>
      </w:r>
      <w:r>
        <w:rPr>
          <w:rFonts w:hint="default" w:ascii="Gotham Pro" w:hAnsi="Gotham Pro" w:cs="Gotham Pro"/>
          <w:sz w:val="24"/>
          <w:szCs w:val="24"/>
        </w:rPr>
        <w:t xml:space="preserve"> называются охранные, санитарно-защитные зоны, зоны охраны объектов культурного наследия (памятников истории и культуры) народов Российской Федерации, водоохранные зоны, зоны охраны источников питьевого водоснабжения, зоны охраняемых объектов, иные зоны, устанавливаемые в соответствии с законодательством РФ.</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Согласно статье 104 Земельного кодекса </w:t>
      </w:r>
      <w:r>
        <w:rPr>
          <w:rFonts w:hint="default" w:ascii="Gotham Pro" w:hAnsi="Gotham Pro" w:cs="Gotham Pro"/>
          <w:sz w:val="24"/>
          <w:szCs w:val="24"/>
          <w:lang w:val="ru-RU"/>
        </w:rPr>
        <w:t>ЗОУИТ</w:t>
      </w:r>
      <w:r>
        <w:rPr>
          <w:rFonts w:hint="default" w:ascii="Gotham Pro" w:hAnsi="Gotham Pro" w:cs="Gotham Pro"/>
          <w:sz w:val="24"/>
          <w:szCs w:val="24"/>
        </w:rPr>
        <w:t xml:space="preserve"> устанавливаются в следующих целях:</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1) защита жизни и здоровья граждан;</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2) безопасная эксплуатация объектов транспорта, связи, энергетики, объектов обороны страны и безопасности государства;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3) обеспечение сохранности объектов культурного наследия;</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4) охрана окружающей среды, в том числе защита и сохранение природных лечебных ресурсов, предотвращение загрязнения, засорения, заиления водных объектов и истощения их вод, сохранение среды обитания водных биологических ресурсов и других объектов животного и растительного мира;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5) обеспечение обороны страны и безопасности государства.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этих целях в границах зон с особыми условиями использования территорий устанавливаются ограничения использования земельных участков, которые распространяются на все, что находится над и под поверхностью земель, если иное не предусмотрено законами о недрах, воздушным и водным законодательством, и ограничивают или запрещают размещение и (или) использование расположенных на таких земельных участках объектов недвижимого имущества и (или) ограничивают или запрещают использование земельных участков для осуществления иных видов деятельности, которые несовместимы с целями установления зон с особыми условиями использования территорий.</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Ниже приведены зоны с особыми условиями использования территорий в границах МО СП «Сосново-Озерское», устанавливаемые в соответствии со статьей 105 Земельного кодекса.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en-US"/>
        </w:rPr>
      </w:pPr>
      <w:bookmarkStart w:id="13" w:name="_Hlk131064979"/>
      <w:r>
        <w:rPr>
          <w:rFonts w:hint="default" w:ascii="Gotham Pro" w:hAnsi="Gotham Pro" w:eastAsia="Times New Roman" w:cs="Gotham Pro"/>
          <w:b/>
          <w:bCs/>
          <w:sz w:val="24"/>
          <w:szCs w:val="24"/>
          <w:lang w:eastAsia="en-US"/>
        </w:rPr>
        <w:t>Байкальская природная территория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xml:space="preserve">Часть территории МО СП «Сосново-Озерское» входит в границы буферной экологической зоны Байкальской природной территории. </w:t>
      </w:r>
    </w:p>
    <w:bookmarkEnd w:id="13"/>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Федеральным законом от 01.05.1999 № 94-ФЗ «Об охране озера Байкал» (далее – Закон о Байкале), определяющим правовое регулирование в области охраны озера Байкал, в целях экологического зонирования территории, прилегающей к озеру, образована Байкальская природная территория (далее – БПТ), в состав которой входят:</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центральная экологическая зона - территория, которая включает в себя озеро Байкал с островами, прилегающую к озеру Байкал водоохранную зону, а также особо охраняемые природные территории, прилегающие к озеру Байкал;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буферная экологическая зона - территория за пределами центральной экологической зоны, включающая в себя водосборную площадь озера Байкал в пределах территории Российской Федерации;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xml:space="preserve">- экологическая зона атмосферного влияния - территория вне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водосборной площади озера Байкал в пределах территории Российской Федерации шириной до 200 километров на запад и северо-запад от него, на которой расположены хозяйственные объекты, деятельность которых оказывает негативное воздействие на уникальную экологическую систему озера Байкал.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xml:space="preserve">Границы БПТ утверждены распоряжением Правительства Российской Федерации от 27.11.2006 № 1641-р.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Статьями 5-12 Закона о Байкале установлен особый режим охраны БПТ хозяйственной и иной деятельности, осуществляемой в соответствии с принципами: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приоритета видов деятельности, не приводящих к нарушению уникальной экологической системы озера Байкал и природных ландшафтов его водоохранной зоны;</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учета комплексности воздействия хозяйственной и иной деятельности на уникальную экологическую систему озера Байкал;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обязательности государственной экологической экспертизы.</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На БПТ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химическое загрязнение озера Байкал или его части, а также его водосборной площади, связанное со сбросами и с выбросами загрязняющих веществ, использованием пестицидов, агрохимикатов, радиоактивных веществ, эксплуатацией транспорта, размещением отходов производства и потребления;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На БПТ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xml:space="preserve">Постановлением Правительства Российской Федерации от 31.12.2020 № 2399 утвержден Перечень видов деятельности, запрещенных в центральной экологической зоне БПТ. </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
          <w:bCs/>
          <w:sz w:val="24"/>
          <w:szCs w:val="24"/>
          <w:lang w:eastAsia="ar-SA"/>
        </w:rPr>
      </w:pPr>
      <w:bookmarkStart w:id="14" w:name="_Hlk131065006"/>
      <w:r>
        <w:rPr>
          <w:rFonts w:hint="default" w:ascii="Gotham Pro" w:hAnsi="Gotham Pro" w:eastAsia="Times New Roman" w:cs="Gotham Pro"/>
          <w:b/>
          <w:bCs/>
          <w:sz w:val="24"/>
          <w:szCs w:val="24"/>
          <w:lang w:eastAsia="ar-SA"/>
        </w:rPr>
        <w:t>Водоохранные зоны, прибрежные защитные полосы, береговая полоса</w:t>
      </w:r>
    </w:p>
    <w:bookmarkEnd w:id="14"/>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lang w:val="ru-RU"/>
        </w:rPr>
        <w:t xml:space="preserve">В силу статьи </w:t>
      </w:r>
      <w:r>
        <w:rPr>
          <w:rFonts w:hint="default" w:ascii="Gotham Pro" w:hAnsi="Gotham Pro" w:eastAsia="Times New Roman" w:cs="Gotham Pro"/>
          <w:bCs/>
          <w:kern w:val="28"/>
          <w:sz w:val="24"/>
          <w:szCs w:val="24"/>
        </w:rPr>
        <w:t>65 Водного кодекса водоохранны</w:t>
      </w:r>
      <w:r>
        <w:rPr>
          <w:rFonts w:hint="default" w:ascii="Gotham Pro" w:hAnsi="Gotham Pro" w:eastAsia="Times New Roman" w:cs="Gotham Pro"/>
          <w:bCs/>
          <w:kern w:val="28"/>
          <w:sz w:val="24"/>
          <w:szCs w:val="24"/>
          <w:lang w:val="ru-RU"/>
        </w:rPr>
        <w:t>е</w:t>
      </w:r>
      <w:r>
        <w:rPr>
          <w:rFonts w:hint="default" w:ascii="Gotham Pro" w:hAnsi="Gotham Pro" w:eastAsia="Times New Roman" w:cs="Gotham Pro"/>
          <w:bCs/>
          <w:kern w:val="28"/>
          <w:sz w:val="24"/>
          <w:szCs w:val="24"/>
        </w:rPr>
        <w:t xml:space="preserve"> зон</w:t>
      </w:r>
      <w:r>
        <w:rPr>
          <w:rFonts w:hint="default" w:ascii="Gotham Pro" w:hAnsi="Gotham Pro" w:eastAsia="Times New Roman" w:cs="Gotham Pro"/>
          <w:bCs/>
          <w:kern w:val="28"/>
          <w:sz w:val="24"/>
          <w:szCs w:val="24"/>
          <w:lang w:val="ru-RU"/>
        </w:rPr>
        <w:t xml:space="preserve">ы - это </w:t>
      </w:r>
      <w:r>
        <w:rPr>
          <w:rFonts w:hint="default" w:ascii="Gotham Pro" w:hAnsi="Gotham Pro" w:eastAsia="Times New Roman" w:cs="Gotham Pro"/>
          <w:bCs/>
          <w:kern w:val="28"/>
          <w:sz w:val="24"/>
          <w:szCs w:val="24"/>
        </w:rPr>
        <w:t>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За пределами территорий городов и других населенных пунктов ширина водоохранной зоны рек, ручьев, каналов, озер, водохранилищ и ширина их прибрежной защитной полосы устанавливаются от местоположения соответствующей береговой линии (границы водного объекта), а ширина водоохранной зоны морей и ширина их прибрежной защитной полосы - от линии максимального прилива. При наличии централизованных ливневых систем водоотведения и набережных границы прибрежных защитных полос этих водных объектов совпадают с парапетами набережных, ширина водоохранной зоны на таких территориях устанавливается от парапета набережной.</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Ширина водоохранной зоны рек или ручьев устанавливается от их истока для рек или ручьев протяженностью:</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xml:space="preserve">1) до </w:t>
      </w:r>
      <w:r>
        <w:rPr>
          <w:rFonts w:hint="default" w:ascii="Gotham Pro" w:hAnsi="Gotham Pro" w:eastAsia="Times New Roman" w:cs="Gotham Pro"/>
          <w:bCs/>
          <w:kern w:val="28"/>
          <w:sz w:val="24"/>
          <w:szCs w:val="24"/>
          <w:lang w:val="ru-RU"/>
        </w:rPr>
        <w:t>10</w:t>
      </w:r>
      <w:r>
        <w:rPr>
          <w:rFonts w:hint="default" w:ascii="Gotham Pro" w:hAnsi="Gotham Pro" w:eastAsia="Times New Roman" w:cs="Gotham Pro"/>
          <w:bCs/>
          <w:kern w:val="28"/>
          <w:sz w:val="24"/>
          <w:szCs w:val="24"/>
        </w:rPr>
        <w:t xml:space="preserve"> километров - в размере </w:t>
      </w:r>
      <w:r>
        <w:rPr>
          <w:rFonts w:hint="default" w:ascii="Gotham Pro" w:hAnsi="Gotham Pro" w:eastAsia="Times New Roman" w:cs="Gotham Pro"/>
          <w:bCs/>
          <w:kern w:val="28"/>
          <w:sz w:val="24"/>
          <w:szCs w:val="24"/>
          <w:lang w:val="ru-RU"/>
        </w:rPr>
        <w:t>50</w:t>
      </w:r>
      <w:r>
        <w:rPr>
          <w:rFonts w:hint="default" w:ascii="Gotham Pro" w:hAnsi="Gotham Pro" w:eastAsia="Times New Roman" w:cs="Gotham Pro"/>
          <w:bCs/>
          <w:kern w:val="28"/>
          <w:sz w:val="24"/>
          <w:szCs w:val="24"/>
        </w:rPr>
        <w:t xml:space="preserve"> метров;</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xml:space="preserve">2) от </w:t>
      </w:r>
      <w:r>
        <w:rPr>
          <w:rFonts w:hint="default" w:ascii="Gotham Pro" w:hAnsi="Gotham Pro" w:eastAsia="Times New Roman" w:cs="Gotham Pro"/>
          <w:bCs/>
          <w:kern w:val="28"/>
          <w:sz w:val="24"/>
          <w:szCs w:val="24"/>
          <w:lang w:val="ru-RU"/>
        </w:rPr>
        <w:t xml:space="preserve">10 </w:t>
      </w:r>
      <w:r>
        <w:rPr>
          <w:rFonts w:hint="default" w:ascii="Gotham Pro" w:hAnsi="Gotham Pro" w:eastAsia="Times New Roman" w:cs="Gotham Pro"/>
          <w:bCs/>
          <w:kern w:val="28"/>
          <w:sz w:val="24"/>
          <w:szCs w:val="24"/>
        </w:rPr>
        <w:t xml:space="preserve">до </w:t>
      </w:r>
      <w:r>
        <w:rPr>
          <w:rFonts w:hint="default" w:ascii="Gotham Pro" w:hAnsi="Gotham Pro" w:eastAsia="Times New Roman" w:cs="Gotham Pro"/>
          <w:bCs/>
          <w:kern w:val="28"/>
          <w:sz w:val="24"/>
          <w:szCs w:val="24"/>
          <w:lang w:val="ru-RU"/>
        </w:rPr>
        <w:t>50</w:t>
      </w:r>
      <w:r>
        <w:rPr>
          <w:rFonts w:hint="default" w:ascii="Gotham Pro" w:hAnsi="Gotham Pro" w:eastAsia="Times New Roman" w:cs="Gotham Pro"/>
          <w:bCs/>
          <w:kern w:val="28"/>
          <w:sz w:val="24"/>
          <w:szCs w:val="24"/>
        </w:rPr>
        <w:t xml:space="preserve"> километров - в размере </w:t>
      </w:r>
      <w:r>
        <w:rPr>
          <w:rFonts w:hint="default" w:ascii="Gotham Pro" w:hAnsi="Gotham Pro" w:eastAsia="Times New Roman" w:cs="Gotham Pro"/>
          <w:bCs/>
          <w:kern w:val="28"/>
          <w:sz w:val="24"/>
          <w:szCs w:val="24"/>
          <w:lang w:val="ru-RU"/>
        </w:rPr>
        <w:t>100</w:t>
      </w:r>
      <w:r>
        <w:rPr>
          <w:rFonts w:hint="default" w:ascii="Gotham Pro" w:hAnsi="Gotham Pro" w:eastAsia="Times New Roman" w:cs="Gotham Pro"/>
          <w:bCs/>
          <w:kern w:val="28"/>
          <w:sz w:val="24"/>
          <w:szCs w:val="24"/>
        </w:rPr>
        <w:t xml:space="preserve"> метров;</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xml:space="preserve">3) от </w:t>
      </w:r>
      <w:r>
        <w:rPr>
          <w:rFonts w:hint="default" w:ascii="Gotham Pro" w:hAnsi="Gotham Pro" w:eastAsia="Times New Roman" w:cs="Gotham Pro"/>
          <w:bCs/>
          <w:kern w:val="28"/>
          <w:sz w:val="24"/>
          <w:szCs w:val="24"/>
          <w:lang w:val="ru-RU"/>
        </w:rPr>
        <w:t>50</w:t>
      </w:r>
      <w:r>
        <w:rPr>
          <w:rFonts w:hint="default" w:ascii="Gotham Pro" w:hAnsi="Gotham Pro" w:eastAsia="Times New Roman" w:cs="Gotham Pro"/>
          <w:bCs/>
          <w:kern w:val="28"/>
          <w:sz w:val="24"/>
          <w:szCs w:val="24"/>
        </w:rPr>
        <w:t xml:space="preserve"> километров и более - в размере </w:t>
      </w:r>
      <w:r>
        <w:rPr>
          <w:rFonts w:hint="default" w:ascii="Gotham Pro" w:hAnsi="Gotham Pro" w:eastAsia="Times New Roman" w:cs="Gotham Pro"/>
          <w:bCs/>
          <w:kern w:val="28"/>
          <w:sz w:val="24"/>
          <w:szCs w:val="24"/>
          <w:lang w:val="ru-RU"/>
        </w:rPr>
        <w:t>200</w:t>
      </w:r>
      <w:r>
        <w:rPr>
          <w:rFonts w:hint="default" w:ascii="Gotham Pro" w:hAnsi="Gotham Pro" w:eastAsia="Times New Roman" w:cs="Gotham Pro"/>
          <w:bCs/>
          <w:kern w:val="28"/>
          <w:sz w:val="24"/>
          <w:szCs w:val="24"/>
        </w:rPr>
        <w:t xml:space="preserve"> метров.</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Для реки, ручья протяженностью менее десяти километров от истока до устья водоохранная зона совпадает с прибрежной защитной полосой. Радиус водоохранной зоны для истоков реки, ручья устанавливается в размере пятидесяти метров.</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Ширина водоохранной зоны озера, водохранилища, за исключением озера, расположенного внутри болота, или озера, водохранилища с акваторией менее 0,5 квадратного километра, устанавливается в размере пятидесяти метров. Ширина водоохранной зоны водохранилища, расположенного на водотоке, устанавливается равной ширине водоохранной зоны этого водотока.</w:t>
      </w:r>
      <w:bookmarkStart w:id="15" w:name="_Hlk111223288"/>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Calibri" w:cs="Gotham Pro"/>
          <w:sz w:val="24"/>
          <w:szCs w:val="24"/>
          <w:lang w:val="ru-RU" w:eastAsia="en-US"/>
        </w:rPr>
      </w:pPr>
      <w:r>
        <w:rPr>
          <w:rFonts w:hint="default" w:ascii="Gotham Pro" w:hAnsi="Gotham Pro" w:eastAsia="Calibri" w:cs="Gotham Pro"/>
          <w:sz w:val="24"/>
          <w:szCs w:val="24"/>
          <w:lang w:eastAsia="en-US"/>
        </w:rPr>
        <w:t>В соответствии со статьей 65 Водного кодекса в границах водоохранных зон устанавливаются прибрежные</w:t>
      </w:r>
      <w:r>
        <w:rPr>
          <w:rFonts w:hint="default" w:ascii="Gotham Pro" w:hAnsi="Gotham Pro" w:eastAsia="Calibri" w:cs="Gotham Pro"/>
          <w:sz w:val="24"/>
          <w:szCs w:val="24"/>
          <w:lang w:val="ru-RU" w:eastAsia="en-US"/>
        </w:rPr>
        <w:t xml:space="preserve"> </w:t>
      </w:r>
      <w:r>
        <w:rPr>
          <w:rFonts w:hint="default" w:ascii="Gotham Pro" w:hAnsi="Gotham Pro" w:eastAsia="Calibri" w:cs="Gotham Pro"/>
          <w:sz w:val="24"/>
          <w:szCs w:val="24"/>
          <w:lang w:eastAsia="en-US"/>
        </w:rPr>
        <w:t>защитные полосы, на территориях</w:t>
      </w:r>
      <w:r>
        <w:rPr>
          <w:rFonts w:hint="default" w:ascii="Gotham Pro" w:hAnsi="Gotham Pro" w:eastAsia="Calibri" w:cs="Gotham Pro"/>
          <w:sz w:val="24"/>
          <w:szCs w:val="24"/>
          <w:lang w:val="ru-RU" w:eastAsia="en-US"/>
        </w:rPr>
        <w:t xml:space="preserve"> </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Calibri" w:cs="Gotham Pro"/>
          <w:sz w:val="24"/>
          <w:szCs w:val="24"/>
          <w:lang w:val="ru-RU" w:eastAsia="en-US"/>
        </w:rPr>
      </w:pP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Calibri" w:cs="Gotham Pro"/>
          <w:sz w:val="24"/>
          <w:szCs w:val="24"/>
          <w:lang w:val="ru-RU" w:eastAsia="en-US"/>
        </w:rPr>
      </w:pP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Calibri" w:cs="Gotham Pro"/>
          <w:sz w:val="24"/>
          <w:szCs w:val="24"/>
          <w:lang w:val="ru-RU" w:eastAsia="en-US"/>
        </w:rPr>
      </w:pP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Calibri" w:cs="Gotham Pro"/>
          <w:sz w:val="24"/>
          <w:szCs w:val="24"/>
          <w:lang w:eastAsia="en-US"/>
        </w:rPr>
      </w:pPr>
      <w:r>
        <w:rPr>
          <w:rFonts w:hint="default" w:ascii="Gotham Pro" w:hAnsi="Gotham Pro" w:eastAsia="Calibri" w:cs="Gotham Pro"/>
          <w:sz w:val="24"/>
          <w:szCs w:val="24"/>
          <w:lang w:val="ru-RU" w:eastAsia="en-US"/>
        </w:rPr>
        <w:t>к</w:t>
      </w:r>
      <w:r>
        <w:rPr>
          <w:rFonts w:hint="default" w:ascii="Gotham Pro" w:hAnsi="Gotham Pro" w:eastAsia="Calibri" w:cs="Gotham Pro"/>
          <w:sz w:val="24"/>
          <w:szCs w:val="24"/>
          <w:lang w:eastAsia="en-US"/>
        </w:rPr>
        <w:t>оторых вводятся дополнительные ограничения хозяйственной и иной деятельности. Ширина прибрежной защитной полосы устанавливается в зависимости от уклона берега водного объекта и составляет тридцать метров для обратного или нулевого уклона, сорок метров для уклона до трех градусов и пятьдесят метров для уклона три и более градуса.Для расположенных в границах болот проточных и сточных озер и соответствующих водотоков ширина прибрежной защитной полосы устанавливается в размере пятидесяти метров.Ширина прибрежной защитной полосы реки, озера, водохранилища, являющихся средой обитания, местами воспроизводства, нереста, нагула, миграционными путями особо ценных водных биологических ресурсов (при наличии одного из показателей) и (или) используемых для добычи (вылова), сохранения таких видов водных биологических ресурсов и среды их обитания, устанавливается в размере двухсот метров независимо от уклона берега.</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границах водоохранных зон запрещаются:</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 использование сточных вод в целях повышения почвенного плодородия;</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3) осуществление авиационных мер по борьбе с вредными организмами;</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6) хранение пестицидов и агрохимикатов (за исключением хранения агрохимикатов в специализированных хранилищах на территориях морских </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Calibri" w:cs="Gotham Pro"/>
          <w:sz w:val="24"/>
          <w:szCs w:val="24"/>
          <w:lang w:eastAsia="en-US"/>
        </w:rPr>
      </w:pP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Calibri" w:cs="Gotham Pro"/>
          <w:sz w:val="24"/>
          <w:szCs w:val="24"/>
          <w:lang w:eastAsia="en-US"/>
        </w:rPr>
      </w:pP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Calibri" w:cs="Gotham Pro"/>
          <w:sz w:val="24"/>
          <w:szCs w:val="24"/>
          <w:lang w:eastAsia="en-US"/>
        </w:rPr>
      </w:pP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портов за пределами границ прибрежных защитных полос), применение </w:t>
      </w:r>
      <w:r>
        <w:rPr>
          <w:rFonts w:hint="default" w:ascii="Gotham Pro" w:hAnsi="Gotham Pro" w:eastAsia="Calibri" w:cs="Gotham Pro"/>
          <w:sz w:val="24"/>
          <w:szCs w:val="24"/>
          <w:lang w:val="ru-RU" w:eastAsia="en-US"/>
        </w:rPr>
        <w:t xml:space="preserve"> </w:t>
      </w:r>
      <w:r>
        <w:rPr>
          <w:rFonts w:hint="default" w:ascii="Gotham Pro" w:hAnsi="Gotham Pro" w:eastAsia="Calibri" w:cs="Gotham Pro"/>
          <w:sz w:val="24"/>
          <w:szCs w:val="24"/>
          <w:lang w:eastAsia="en-US"/>
        </w:rPr>
        <w:t>пестицидов и агрохимикатов;</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7) сброс сточных, в том числе дренажных, вод;</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21.02.1992 № 2395-1 «О недрах»).</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 Под сооружениями, обеспечивающими охрану водных объектов от загрязнения, засорения, заиления и истощения вод, понимаются:</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 централизованные системы водоотведения (канализации), централизованные ливневые системы водоотведения;</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2) 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3) 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настоящего Кодекса;</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val="ru-RU" w:eastAsia="en-US"/>
        </w:rPr>
      </w:pPr>
      <w:r>
        <w:rPr>
          <w:rFonts w:hint="default" w:ascii="Gotham Pro" w:hAnsi="Gotham Pro" w:eastAsia="Calibri" w:cs="Gotham Pro"/>
          <w:sz w:val="24"/>
          <w:szCs w:val="24"/>
          <w:lang w:eastAsia="en-US"/>
        </w:rPr>
        <w:t>4) 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w:t>
      </w:r>
      <w:r>
        <w:rPr>
          <w:rFonts w:hint="default" w:ascii="Gotham Pro" w:hAnsi="Gotham Pro" w:eastAsia="Calibri" w:cs="Gotham Pro"/>
          <w:sz w:val="24"/>
          <w:szCs w:val="24"/>
          <w:lang w:val="ru-RU" w:eastAsia="en-US"/>
        </w:rPr>
        <w:t xml:space="preserve"> </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val="ru-RU" w:eastAsia="en-US"/>
        </w:rPr>
      </w:pP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val="ru-RU" w:eastAsia="en-US"/>
        </w:rPr>
      </w:pP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val="ru-RU" w:eastAsia="en-US"/>
        </w:rPr>
      </w:pP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приемники, изготовленные из водонепроницаемых материалов;</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5) 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границах прибрежных защитных полос наряду с вышеуказанными ограничениями запрещаются:</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1) распашка земель;</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2) размещение отвалов размываемых грунтов;</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3) выпас сельскохозяйственных животных и организация для них летних лагерей, ванн.</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Установление границ водоохранных зон и границ прибрежных защитных полос водных объектов, в том числе обозначение на местности посредством специальных информационных знаков, осуществляется в соответствии с Правилами установления границ водоохранных зон и границ прибрежных защитных полос водных объектов, утвержденными постановлением Правительства Российской Федерации от 10.01.2009 № 17.</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Согласно статье 6 Водного кодекса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ЕГРН внесены сведения:</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о водоохранной зоне озера Сосновое в Еравнинском районе Республики Бурятия под реестровым номером 03:05-6.1296;</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о прибрежной защитной полосе озера Сосновое в Еравнинском районе Республики Бурятия под реестровым номером 03:05-6.1297</w:t>
      </w:r>
    </w:p>
    <w:p>
      <w:pPr>
        <w:keepNext w:val="0"/>
        <w:keepLines w:val="0"/>
        <w:pageBreakBefore w:val="0"/>
        <w:widowControl w:val="0"/>
        <w:shd w:val="clear" w:color="auto" w:fill="FFFFFF" w:themeFill="background1"/>
        <w:tabs>
          <w:tab w:val="left" w:pos="993"/>
        </w:tabs>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о береговой линии (граница водного объекта) озера Сосновое в Еравнинском районе Республики Бурятия под реестровым номером 03:05-5.3.</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b/>
          <w:bCs/>
          <w:sz w:val="24"/>
          <w:szCs w:val="24"/>
          <w:lang w:eastAsia="en-US"/>
        </w:rPr>
      </w:pPr>
      <w:bookmarkStart w:id="16" w:name="_Hlk131065038"/>
      <w:r>
        <w:rPr>
          <w:rFonts w:hint="default" w:ascii="Gotham Pro" w:hAnsi="Gotham Pro" w:eastAsia="Calibri" w:cs="Gotham Pro"/>
          <w:b/>
          <w:bCs/>
          <w:sz w:val="24"/>
          <w:szCs w:val="24"/>
          <w:lang w:eastAsia="en-US"/>
        </w:rPr>
        <w:t>Зоны санитарной охраны источников питьевого и хозяйственно-бытового водоснабжения</w:t>
      </w:r>
    </w:p>
    <w:bookmarkEnd w:id="16"/>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В соответствии с пунктом 16 статьи 105 Земельного кодекса одним из видов зон с особыми условиями использования территорий являются зоны санитарной охраны источников питьевого и хозяйственно-бытового водоснабжения (далее – ЗСО), а также устанавливаемые в случаях, </w:t>
      </w: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предусмотренных Водным кодексом Российской Федерации, в отношении подземных водных объектов зоны специальной охраны.</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силу пункта 5 статьи 18 Федерального закона от 30.03.1999 г. № 52-ФЗ «О санитарно-эпидемиологическом благополучии населения» ЗСО устанавливаются, изменяются, прекращают существование по решению органа исполнительной власти субъекта Российской Федерации. При этом решения об установлении, изменении ЗСО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ЗСО утверждается Правительством Российской Федерации.</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Согласно пункту 3.3.25 Положения о Министерстве природных ресурсов и экологии Республики Бурятия, утвержденного постановлением Правительства Республики Бурятия от 09.03.2007 № 65, Минприроды РБ осуществляет утверждение проектов зон санитарной охраны водных объектов, используемых для питьевого, хозяйственно-бытового водоснабжения, установление границ и режимов этих зон при обязательном наличии положительного санитарно-эпидемиологического заключения. Постановлением Правительства Республики Бурятия от 16.10.2014 № 504 утвержден Порядок утверждения проектов, установления границ и режима зон санитарной охраны водных объектов, используемых для питьевого и хозяйственно-бытового водоснабжения (далее – Порядок).</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eastAsia="Calibri" w:cs="Gotham Pro"/>
          <w:sz w:val="24"/>
          <w:szCs w:val="24"/>
          <w:lang w:eastAsia="en-US"/>
        </w:rPr>
        <w:t xml:space="preserve">В соответствии с пунктом 2.2.1.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Российской Федерации 26.02.2002 г. (Постановление Главного государственного санитарного врача Российской Федерации от 14.03.2002 № 10) </w:t>
      </w:r>
      <w:r>
        <w:rPr>
          <w:rFonts w:hint="default" w:ascii="Gotham Pro" w:hAnsi="Gotham Pro" w:cs="Gotham Pro"/>
          <w:sz w:val="24"/>
          <w:szCs w:val="24"/>
        </w:rPr>
        <w:t>водозаборы подземных вод должны располагаться вне территории промышленных предприятий и жилой застройки. Расположение на территории промышленного предприятия или жилой застройки возможно при надлежащем обосновании. 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Граница первого пояса ЗСО группы подземных водозаборов должна находиться на расстоянии не менее 30 и 50 м от крайних скважин.</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Для водозаборов из защищенных подземных вод, расположенных на территории объекта, исключающего возможность загрязнения почвы и подземных вод, размеры первого пояса ЗСО допускается сокращать при </w:t>
      </w: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условии гидрогеологического обоснования по согласованию с центром государственного санитарно-эпидемиологического надзора.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 защищенным подземным водам относятся напорные и безнапорные межпластовые воды, имеющие в пределах всех поясов ЗСО сплошную водоупорную кровлю, исключающую возможность местного питания из вышележащих недостаточно защищенных водоносных горизонтов.</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К недостаточно защищенным подземным водам относятся:</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а) грунтовые воды, т.е. подземные воды первого от поверхности земли безнапорного водоносного горизонта, получающего питание на площади его распространения;</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б) напорные и безнапорные межпластовые воды, которые в естественных условиях или в результате эксплуатации водозабора получают питание на площади ЗСО из вышележащих недостаточно защищенных водоносных горизонтов через гидрогеологические окна или проницаемые породы кровли, а также из водотоков и водоемов путем непосредственной гидравлической связи.</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cs="Gotham Pro"/>
          <w:sz w:val="24"/>
          <w:szCs w:val="24"/>
        </w:rPr>
        <w:t xml:space="preserve">В связи с изложенным, до </w:t>
      </w:r>
      <w:r>
        <w:rPr>
          <w:rFonts w:hint="default" w:ascii="Gotham Pro" w:hAnsi="Gotham Pro" w:eastAsia="Calibri" w:cs="Gotham Pro"/>
          <w:sz w:val="24"/>
          <w:szCs w:val="24"/>
          <w:lang w:eastAsia="en-US"/>
        </w:rPr>
        <w:t>утверждения согласно вышеуказанному Порядку проектов ЗСО источников водоснабжения предлагается установить зону санитарной охраны границы первого пояса ЗСО.</w:t>
      </w:r>
    </w:p>
    <w:p>
      <w:pPr>
        <w:keepNext w:val="0"/>
        <w:keepLines w:val="0"/>
        <w:pageBreakBefore w:val="0"/>
        <w:kinsoku/>
        <w:wordWrap/>
        <w:overflowPunct/>
        <w:topLinePunct w:val="0"/>
        <w:bidi w:val="0"/>
        <w:adjustRightInd/>
        <w:snapToGrid/>
        <w:spacing w:after="0" w:line="300" w:lineRule="auto"/>
        <w:ind w:left="0" w:leftChars="0" w:firstLine="439" w:firstLineChars="183"/>
        <w:jc w:val="both"/>
        <w:textAlignment w:val="auto"/>
        <w:rPr>
          <w:rFonts w:hint="default" w:ascii="Gotham Pro" w:hAnsi="Gotham Pro" w:eastAsia="Calibri" w:cs="Gotham Pro"/>
          <w:b/>
          <w:bCs/>
          <w:sz w:val="24"/>
          <w:szCs w:val="24"/>
          <w:lang w:eastAsia="en-US"/>
        </w:rPr>
      </w:pPr>
      <w:bookmarkStart w:id="17" w:name="_Hlk131065058"/>
      <w:r>
        <w:rPr>
          <w:rFonts w:hint="default" w:ascii="Gotham Pro" w:hAnsi="Gotham Pro" w:eastAsia="Calibri" w:cs="Gotham Pro"/>
          <w:b/>
          <w:bCs/>
          <w:sz w:val="24"/>
          <w:szCs w:val="24"/>
          <w:lang w:eastAsia="en-US"/>
        </w:rPr>
        <w:t>Охранная зона объектов электроэнергетики (объектов электросетевого хозяйства и объектов по производству электрической энергии)</w:t>
      </w:r>
    </w:p>
    <w:bookmarkEnd w:id="17"/>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Постановлением Правительства Российской Федерации от 24.02.2009 № 160 утверждены Правила установления охранных зон объектов электросетевого хозяйства и особых условий использования земельных участков, расположенных в границах таких зон. Охранные зоны составляют вдоль воздушных линий электропередачи – в виде части поверхности участка земли и воздушного пространства (на высоту, соответствующую высоте опор воздушных линий электропередачи), ограниченной параллельными вертикальными плоскостями, отстоящими по обе стороны линии электропередачи от крайних проводов при неотклоненном их положении, на расстоянии: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-10 м – для линий электропередачи 1-20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- 15 м – для линий электропередачи 35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- 20 м – для линий электропередачи 110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- 25 м – для линий электропередачи 220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- 30 м - для линий электропередачи 500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xml:space="preserve">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указанные в пунктах 8-11 указанных Правил.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Охранные зоны объектов по производству электрической энергии, к которым относятся энергетические установки, предназначенные для производства электрической или электрической и тепловой энергии, состоящие из сооружений, оборудования для преобразования различных видов энергии в электрическую или электрическую и тепловую и распределительных устройств, мощность которых составляет 500 кВт и более, и режим использования таких зон устанавливаются в соответствии с Постановлением Правительства Российской Федерации от 18 ноября 2013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Охранная зона устанавливается вдоль границы земельного участка, предоставленного для размещения объекта по производству электрической энергии, в виде части поверхности участка земли, ограниченной линией, параллельной границе земельного участка, предоставленного для размещения объекта по производству электрической энергии: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на расстоянии 50 метров от указанной границы – для объектов высокой категории опасности;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на расстоянии 30 метров от указанной границы – для объектов средней категории опасности;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на расстоянии 10 метров от указанной границы – для объектов низкой категории опасности и объектов, категория опасности которых не определена в установленном законодательством Российской Федерации порядке.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В охранных зонах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убирать, перемещать, засыпать и повреждать предупреждающие знаки;</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производить сброс и слив едких и коррозионных веществ, в том числе растворов кислот, щелочей и солей, а также горюче-смазочных материалов;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разводить огонь и размещать какие-либо открытые или закрытые источники огня;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производить работы ударными механизмами, сбрасывать тяжести массой свыше 5 тонн;</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складировать любые материалы, в том числе взрывоопасные, пожароопасные и горюче-смазочные.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В пределах охранных зон без письменного согласования владельцев объектов юридическим и физическим лицам запрещается: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-проводить любые мероприятия, связанные с пребыванием людей, не занятых выполнением работ, разрешенных в установленном порядке;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outlineLvl w:val="0"/>
        <w:rPr>
          <w:rFonts w:hint="default" w:ascii="Gotham Pro" w:hAnsi="Gotham Pro" w:eastAsia="Times New Roman" w:cs="Gotham Pro"/>
          <w:bCs/>
          <w:kern w:val="28"/>
          <w:sz w:val="24"/>
          <w:szCs w:val="24"/>
        </w:rPr>
      </w:pPr>
      <w:r>
        <w:rPr>
          <w:rFonts w:hint="default" w:ascii="Gotham Pro" w:hAnsi="Gotham Pro" w:eastAsia="Times New Roman" w:cs="Gotham Pro"/>
          <w:bCs/>
          <w:kern w:val="28"/>
          <w:sz w:val="24"/>
          <w:szCs w:val="24"/>
        </w:rPr>
        <w:t>- осуществлять горные, взрывные, мелиоративные работы, в том числе связанные с временным затоплением земель.</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eastAsia="Times New Roman" w:cs="Gotham Pro"/>
          <w:bCs/>
          <w:sz w:val="24"/>
          <w:szCs w:val="24"/>
        </w:rPr>
        <w:t>В ЕГРН внесены сведения о границах зон с особыми условиями использования территорий объектов электроэнергетики, расположенных на территории МО СП «Сосново-Озерское»</w:t>
      </w:r>
      <w:r>
        <w:rPr>
          <w:rFonts w:hint="default" w:ascii="Gotham Pro" w:hAnsi="Gotham Pro" w:cs="Gotham Pro"/>
          <w:sz w:val="24"/>
          <w:szCs w:val="24"/>
        </w:rPr>
        <w:t>:</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bookmarkStart w:id="18" w:name="_Hlk131065082"/>
      <w:r>
        <w:rPr>
          <w:rFonts w:hint="default" w:ascii="Gotham Pro" w:hAnsi="Gotham Pro" w:cs="Gotham Pro"/>
          <w:sz w:val="24"/>
          <w:szCs w:val="24"/>
        </w:rPr>
        <w:t>- реестровый номер 03:05-6.282 (учетный номер03.05.2.7) воздушной линии электропередачи Вл 110 кВ КС-112 «Комсомольское-Сосново-Озерское»;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03:05-6.676 (учетный номер03.05.2.24) воздушной линии электропередачи ВЛ 10 кВ ПС «СОзерская» ф.С-6 отп.Иринга, Кундуй, Бургунда, Щучье-1, Арангата, Ашей, Хонкор, Щучье-2, Анюлта, Улан-Майла, Яндола, Кыргында; ПС-«СОзерская-ЛР-603; Укыр-ЛР-603;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номер03:05-6.750 (учетный номер03.05.2.170) ВЛ-0,4 кВ «Укыр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03:05-6.633 (учетный номер03.05.2.14) воздушной линии электропередачи ВЛ 10 кВф.C- 7 ЛР-701-ЛР-703 отп.Тутхулта; ЛР-702_Домна Магистраль; отп.Дабан-Горхон; ПС-110/35/10 кВ«С-Озерская» ЛР-602; отп.Гараж; отп.Коровник (Каменка); отп.Пилорама;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03:05-6.294 (учетный номер03.05.2.82) ВЛ-0,4 кВ Ф№6 «Школа С-6»;</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номер03:05-6.774 (учетный номер03.05.2.80) ВЛ-0,4 кВ «Клуб С-6»;</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03:05-6.131 (учетный номер</w:t>
      </w:r>
      <w:r>
        <w:rPr>
          <w:rFonts w:hint="default" w:ascii="Gotham Pro" w:hAnsi="Gotham Pro" w:cs="Gotham Pro"/>
          <w:sz w:val="24"/>
          <w:szCs w:val="24"/>
          <w:lang w:val="ru-RU"/>
        </w:rPr>
        <w:t xml:space="preserve"> </w:t>
      </w:r>
      <w:r>
        <w:rPr>
          <w:rFonts w:hint="default" w:ascii="Gotham Pro" w:hAnsi="Gotham Pro" w:cs="Gotham Pro"/>
          <w:sz w:val="24"/>
          <w:szCs w:val="24"/>
        </w:rPr>
        <w:t xml:space="preserve">03.05.2.132) ВЛ-0,4 кВ </w:t>
      </w: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r>
        <w:rPr>
          <w:rFonts w:hint="default" w:ascii="Gotham Pro" w:hAnsi="Gotham Pro" w:cs="Gotham Pro"/>
          <w:sz w:val="24"/>
          <w:szCs w:val="24"/>
        </w:rPr>
        <w:t>«Гараж Улан-Туя С-6»;</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03:05-6.660 (учетный номер03.05.2.149) ВЛ-0,4 кВ «с-з Сосновский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номер03:05-6.629 (учетный номер03.05.2.57) ВЛ-0,4 кВ «с-з Сосновский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03:05-6.1090охранная зона ВЛ 10 кВотп от оп. №66/77 ф. C-6 Комсомольское ПС 110/35/10 кВ Сосново-Озерская;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номер03:05-6.1071 охранная зона ТП-313 С-6Ундэр Шунхэн;</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номер03:05-6.1112 охранная зона ВЛ 10 кВотп. от оп. №331/19 ф. С-6 Комсомольское ПС 110/35/10 кВСосновоозерская;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номер03:05-6.1073охранная зона ТП-320С-6 Урудол;</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03:05-6.510 (учетный номер03.05.2.169) ВЛ-0,4 кВ «Сайдам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w:t>
      </w:r>
      <w:bookmarkStart w:id="19" w:name="_Hlk135049652"/>
      <w:r>
        <w:rPr>
          <w:rFonts w:hint="default" w:ascii="Gotham Pro" w:hAnsi="Gotham Pro" w:cs="Gotham Pro"/>
          <w:sz w:val="24"/>
          <w:szCs w:val="24"/>
        </w:rPr>
        <w:t>реестровый номер</w:t>
      </w:r>
      <w:bookmarkEnd w:id="19"/>
      <w:r>
        <w:rPr>
          <w:rFonts w:hint="default" w:ascii="Gotham Pro" w:hAnsi="Gotham Pro" w:cs="Gotham Pro"/>
          <w:sz w:val="24"/>
          <w:szCs w:val="24"/>
        </w:rPr>
        <w:t>03:05-6.193 (учетный номер03.05.2.201) ВЛ-0,4 кВ Ф№5 «Совхоз Гарам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номер03:05-6.149 (учетный номер03.05.2.208) воздушной линии электропередачи 0.4 кВ РРС-113 С-4 (КЛ-0,4 кВ от ТП-133-С5);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номер03:05-6.303 (учетный номер03.05.2.53) ВЛ-0,4 кВ «Щучье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03:05-6.704 (учетный номер03.05.2.87) ВЛ-0,4 кВ «Тутхулта-2 С-6»;</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w:t>
      </w:r>
      <w:bookmarkStart w:id="20" w:name="_Hlk135050591"/>
      <w:r>
        <w:rPr>
          <w:rFonts w:hint="default" w:ascii="Gotham Pro" w:hAnsi="Gotham Pro" w:cs="Gotham Pro"/>
          <w:sz w:val="24"/>
          <w:szCs w:val="24"/>
        </w:rPr>
        <w:t xml:space="preserve">реестровый номер </w:t>
      </w:r>
      <w:bookmarkEnd w:id="20"/>
      <w:r>
        <w:rPr>
          <w:rFonts w:hint="default" w:ascii="Gotham Pro" w:hAnsi="Gotham Pro" w:cs="Gotham Pro"/>
          <w:sz w:val="24"/>
          <w:szCs w:val="24"/>
        </w:rPr>
        <w:t>03:05-6.927 (учетный номер03.05.2.74) ВЛ-0,4 кВ «Березовая грива-2 С-6»;</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03:05-6.1101ВЛ 10 кВотп от оп. №143/30 ф. С-9 Ширинга ПС 110/35/10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03:05-6.245 (учетный номер03.05.2.75) ВЛ-0,4 кВ «Хаймисан С-8»;</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03:05-6.542 (учетный номер03.05.2.37) Зоны с особыми условиями использования территории ВЛ 10 кВ ФС-9 с.Сосново-Озерское-Хаймисан, ФС-9 Хаймисан-ЛР-709, ФС-9 отп.Домка3 Ф/Х ( ФС-9 Ширинга);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03:05-6.42 (учетный номер03.05.2.4) воздушной линии электропередачи 35 кВ от ПС 110/35/10 кВ«Сосново-Озерская» до ПС 35/10 кВ«Гунда», СГ-3040;</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номер03:05-6.1267 охранная зона ВЛ-0,4 кВ ф.3 ТП-202-С6 Запад;</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номер03:05-6.1254 охранная зона Здание контейнерного типа ТП; ТП-202-С6 Запад;</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реестровый номер03:05-6.1256 охранная зона ВЛ-0,4 кВ ф.1 ТП-202-С6 </w:t>
      </w: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r>
        <w:rPr>
          <w:rFonts w:hint="default" w:ascii="Gotham Pro" w:hAnsi="Gotham Pro" w:cs="Gotham Pro"/>
          <w:sz w:val="24"/>
          <w:szCs w:val="24"/>
        </w:rPr>
        <w:t>Запад;</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03:05-6.1261 охранная зона ВЛ-0,4 кВ ф.2 ТП-202-С6 Запад;</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номер03:05-6.1094 охранная зона ВЛ 0,4 кВотп от оп. №1/2 ф. 1 ТП-114 С-3 Племстанция;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03:05-6.164 (учетный номер03.05.2.168) ВЛ-0,4 кВ «с-з Сосновский С-2»;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номер03:05-6.707 (учетный номер03.05.2.143) ВЛ-0,4 кВ «Детсад С-2»;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номер03:05-6.450 (учетный номер03.05.2.139) ВЛ-0,4 кВ «с.Сосново-Озерское С-2»;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03:05-6.1050 охранная зона ВЛ 0,4 кВотп. от оп.№1/11 ф.1 ТП-118 С-3 Полевая;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03:05-6.1272 охранная зона ВЛ-0,4 кВ ф.2 ТП-131-С4 ПМК;</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номер03:05-6.660 (учетный номер03.05.2.149) ВЛ-0,4 кВ «с-з Сосновский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03:05-6.1089 охранная зона ВЛ 10 кВотп от оп. №77 ф. C-6 ПС 110/35/10 кВCосново-Озерская;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 03:05-6.1108 охранная зона ВЛ 0,4 кВ ф. 1 ТП-321 С-6 Строительная;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w:t>
      </w:r>
      <w:bookmarkStart w:id="21" w:name="_Hlk135053144"/>
      <w:r>
        <w:rPr>
          <w:rFonts w:hint="default" w:ascii="Gotham Pro" w:hAnsi="Gotham Pro" w:cs="Gotham Pro"/>
          <w:sz w:val="24"/>
          <w:szCs w:val="24"/>
        </w:rPr>
        <w:t xml:space="preserve">реестровый номер </w:t>
      </w:r>
      <w:bookmarkEnd w:id="21"/>
      <w:r>
        <w:rPr>
          <w:rFonts w:hint="default" w:ascii="Gotham Pro" w:hAnsi="Gotham Pro" w:cs="Gotham Pro"/>
          <w:sz w:val="24"/>
          <w:szCs w:val="24"/>
        </w:rPr>
        <w:t>03:05-6.1074 охранная зона ТП-321С-6 Строительная;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03:05-6.349 (учетный номер03.05.2.119) ВЛ-0,4 кВ «ХДСУ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03:05-6.907 (учетный номер03.05.2.202) ВЛ-0,4 кВ от ТП-137-С6 «СХТ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03:05-6.941(учетный номер03.05.2.203) ВЛ-0,4 кВ от ТП-136-С6 «с-з Сосновский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номер03:05-6.648 (учетный номер03.05.2.162) ВЛ-0,4 кВ Ф№5 «60 лет Бурятии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номер03:05-6.579 (учетный номер03.05.2.126) ВЛ-0,4 кВ «с-з Сосновский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03:05-6.615 (учетный номер03.05.2.135) ВЛ-0,4 кВ «с-з Сосновский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03:05-6.355 (учетный номер03.05.2.142) ВЛ-0,4 кВ«Аэропорт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номер03:05-6.1056 охранная зона воздушной линии электропередачи 10 кВ от ПС 110/35/10кВ «Сосновоозёрская» ф.№5-с-з Сосновский;</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03:05-6.64 (учетный номер03.05.2.77) ВЛ-0,4 кВ «Сосново-Озерское Межлесхоз С-6»;</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реестровый номер 03:05-6.633 (учетный номер03.05.2.14) воздушной линии электропередачи ВЛ 10 кВф.C- 7 ЛР-701-ЛР-703 отп.Тутхулта; ЛР-702_Домна Магистраль; отп.Дабан-Горхон; ПС-110/35/10 кВ "С-Озерская" ЛР-602; отп.Гараж; отп.Коровник (Каменка); отп.Пилорама;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номер03:05-6.211 (учетный номер03.05.2.171) ВЛ-0,4 кВ «РРС-113 С-4»;</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03:05-6.208 (учетный номер03.05.2.161) ВЛ-0,4 кВ «Ф№3 Речная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03:05-6.881 (учетный номер03.05.2.23) воздушной линии электропередачи ВЛ 10 кВф.С-4 «С-Озерская»с.Сосново-Озерское;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03:05-6.1246 охранная зона Здание контейнерного типа ТП; ТП-255-С4 КСК;</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реестровый номер 03:05-6.1273 охранная зона ВЛ-0,4 кВ ф.2 ТП-246-С4 СПТУ;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03:05-6.1277публичный сервитут ВЛ-0,4 кВ ф.2 ТП-246-С4 СПТУ;</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номер03:05-6.623 (учетный номер03.05.2.129) ВЛ-0,4 кВ «Василенко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03:05-6.648 (учетный номер03.05.2.162) ВЛ-0,4 кВ Ф№5 «60 лет Бурятии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номер03:05-6.1105 охранная зона ВЛ 0,4 кВ Ф. №5 «60 лет Бурятии С-5»;</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03:05-6.1076 охранная зона ТП-303 С-6 АЮС;</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03:05-6.1062 охранная зона ВЛ 10 кВотп. от оп.№95 Ф.С-6 Комсомольская ПС-110/35/10 кВ Сосново-Озерская;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03:05-6.1078 охранная зона ВЛ 0,4 кВ ф.1 ТП-303 С-6 АЮС;</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03:05-6.914 (учетный номер03.05.2.136) ВЛ-0,4 кВ «с. Сосново-Озерское С-2»;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03:05-6.463 (учетный номер03.05.2.174) ВЛ-0,4 кВ «Больница РТМО С-2»;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номер03:05-6.1276 охранная зона Здание контейнерного типа ТП; ТП-265-С4 ЦК;</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03:05-6.448 (учетный номер03.05.2.141) ВЛ-0,4 кВ «ДК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номер03:05-6.615 (учетный номер03.05.2.135) ВЛ-0,4 кВ «с-з Сосновский С-3»;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03:05-6.682 (учетный номер03.05.2.198) ВЛ-0,4 кВ «Школа-1 С-3» с.Сосново-Озерское;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03:05-6.1082 охранная зона Воздушная линия электропередачи 0,4 кВ«МТМ Эгитуйская П-4»;</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номер03:05-6.1260 охранная зона Здание контейнерного типа ТП; ТП-246-С4 СПТУ;</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номер03:05-6.1274 охранная зона ВЛ-0,4 кВ ф.1 ТП-246-С4 СПТУ;</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03:05-6.1280публичный сервитут ВЛ-0,4 кВ ф.1 ТП-246-С4 СПТУ;</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03:05-6.164 (учетный номер03.05.2.168) ВЛ-0,4 кВ «с-з Сосновский С-2»;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номер03:05-6.94 (учетный номер03.05.2.34) воздушной линии электропередачи ВЛ 10 кВ ф.С-3 «С-Озерская» с.Сосново- Озерское;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номер03:05-6.224 (учетный номер03.05.2.25) воздушной линии электропередачи ВЛ 10 кВ ф.С-5 «ПРРС» ПРРС-711;</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номер03:05-6.466 (учетный номер03.05.2.13) воздушной линии электропередачи ВЛ 10 кВ ф.С-8 с.Сосново-Озерское- Тулдун; Тулдун; отп.Гурт 3;</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номер03:05-6.878 (учетный номер03.05.2.49) ПС Сосново-Озерское 110/10 кВ Республика Бурятия, Еравнинский район, с. Сосново-Озерское;</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03:05-6.165 (учетный номер03.05.2.2) воздушная линия электропередачи 110 кВ СБ-123 «Сосново Озерск-Грязнуха»;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03:05-6.653 (учетный номер03.05.2.5) воздушной линии электропередачи 110/35/10 кВ СБ-123 «Сосново-Озерская –Беклимешево» отпайка на ПС 110/10 «Грязнуха»;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03:05-6.25 (учетный номер03.05.2.6) воздушной линии электропередачи 110 кВ;</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03:05-6.42 (учетный номер03.05.2.4) воздушной линии электропередачи 35 кВ от ПС 110/35/10 кВ«Сосново-Озерская» до ПС 35/10 кВ«Гунда», СГ-3040;</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03:05-6.1253 охранная зона ВЛ-0,4 кВ ф.3 ТП-193-С9 Восток-2;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03:05-6.1252 охранная зона ВЛ-0,4 кВ ф.1 ТП-193-С9 Восток-2;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 03:05-6.1255 охранная зона ВЛ-10 кВотп. от оп.№22 ф.С9 ПС-110/35/10кВ Сосново-озерская;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реестровый номер 03:05-6.1258 охранная зона ВЛ-0,4 кВ ф.2 ТП-193-С9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jc w:val="both"/>
        <w:textAlignment w:val="auto"/>
        <w:rPr>
          <w:rFonts w:hint="default" w:ascii="Gotham Pro" w:hAnsi="Gotham Pro" w:cs="Gotham Pro"/>
          <w:sz w:val="24"/>
          <w:szCs w:val="24"/>
        </w:rPr>
      </w:pPr>
      <w:r>
        <w:rPr>
          <w:rFonts w:hint="default" w:ascii="Gotham Pro" w:hAnsi="Gotham Pro" w:cs="Gotham Pro"/>
          <w:sz w:val="24"/>
          <w:szCs w:val="24"/>
        </w:rPr>
        <w:t>Восток-2;</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номер03:05-6.1264 охранная зона ВЛ-0,4 кВ ф.2 ТП-191-С8 Восток-1;</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-реестровый номер03:05-6.1251 охранная зона ВЛ-0,4 кВ ф.1 ТП-191-С8 Восток-1;</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реестровый номер 03:05-6.587 (учетный номер03.05.2.51) ВЛ-0,4 кВ «Убойный пункт С-7».</w:t>
      </w:r>
    </w:p>
    <w:bookmarkEnd w:id="18"/>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b/>
          <w:bCs/>
          <w:sz w:val="24"/>
          <w:szCs w:val="24"/>
          <w:lang w:eastAsia="en-US"/>
        </w:rPr>
      </w:pPr>
      <w:bookmarkStart w:id="22" w:name="_Hlk131065110"/>
      <w:r>
        <w:rPr>
          <w:rFonts w:hint="default" w:ascii="Gotham Pro" w:hAnsi="Gotham Pro" w:eastAsia="Calibri" w:cs="Gotham Pro"/>
          <w:b/>
          <w:bCs/>
          <w:sz w:val="24"/>
          <w:szCs w:val="24"/>
          <w:lang w:eastAsia="en-US"/>
        </w:rPr>
        <w:t>Охранная зона линий и сооружений связи</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Fonts w:hint="default" w:ascii="Gotham Pro" w:hAnsi="Gotham Pro" w:eastAsia="Calibri" w:cs="Gotham Pro"/>
          <w:sz w:val="24"/>
          <w:szCs w:val="24"/>
          <w:lang w:eastAsia="en-US"/>
        </w:rPr>
        <w:t xml:space="preserve">В ЕГРН внесены сведения о границе зоны с особыми условиями использования территорий объектов </w:t>
      </w:r>
      <w:r>
        <w:rPr>
          <w:rStyle w:val="13"/>
          <w:rFonts w:hint="default" w:ascii="Gotham Pro" w:hAnsi="Gotham Pro" w:cs="Gotham Pro"/>
          <w:sz w:val="24"/>
          <w:szCs w:val="24"/>
          <w:lang w:eastAsia="en-US"/>
        </w:rPr>
        <w:t>связи:</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w:t>
      </w:r>
      <w:r>
        <w:rPr>
          <w:rStyle w:val="13"/>
          <w:rFonts w:hint="default" w:ascii="Gotham Pro" w:hAnsi="Gotham Pro" w:cs="Gotham Pro"/>
          <w:sz w:val="24"/>
          <w:szCs w:val="24"/>
        </w:rPr>
        <w:t xml:space="preserve"> с реестровым номером </w:t>
      </w:r>
      <w:r>
        <w:rPr>
          <w:rStyle w:val="13"/>
          <w:rFonts w:hint="default" w:ascii="Gotham Pro" w:hAnsi="Gotham Pro" w:cs="Gotham Pro"/>
          <w:sz w:val="24"/>
          <w:szCs w:val="24"/>
          <w:lang w:eastAsia="en-US"/>
        </w:rPr>
        <w:t>03:05-6.422 (учетный номер 03.05.2.205) волоконно-оптической линии связи «Хоринск - Сосново-Озёрское»;</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 с реестровым номером 03:00-6.48 (учетный номер 03.00.2.36) волоконно-оптической кабельной линии связи Хоринск - Сосново-Озерское;</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 с реестровым номером 03:05-6.1250 охранная зона волоконно-оптической линии связи «Магистральная кабельная линия абонентского доступа СЗО (2)», расположенная Бурятия Респ, Еравнинский р-н, Гарам п., Орлова ул. 16;</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 с реестровым номером 03:05-6.1247 охранная зона волоконно-оптической линии связи «Магистральная кабельная линия абонентского доступа СЗО (2)», расположенная Бурятия Респ, Еравнинский р-н, Домна с., Кузнечная ул. 6;</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 с реестровым номером 03:05-6.1285 охранная зона волоконно-оптической линии связи "МОС связи Магистральная кабельная линия абонентского доступа", расположенная Бурятия Респ, Еравнинский р-н, Домна с, Школьная ул 10А;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 с реестровым номером 03:05-6.1237 охранная зона волоконно-оптической линии связи «Магистральная кабельная линия абонентского доступа (РТРС)», расположенная Бурятия Респ, Еравнинский р-н, Укыр с РТРС;</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-с реестровым номером 03:05-6.1331 «Линия связи ВОЛС с. Укыр ООО «ВОСТОК-ТЕЛЕКОМ»;</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 - с реестровым номером 03:05-6.712 (учетный номер 03.05.2.216) ВОЛС «Муфта (М25в ВОЛС ПАО «МТС») - Республика Бурятия, Еравнинский район, с. Сосново-Озерское, ул. Василенко, 84 (БС03-433)»;</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r>
        <w:rPr>
          <w:rStyle w:val="13"/>
          <w:rFonts w:hint="default" w:ascii="Gotham Pro" w:hAnsi="Gotham Pro" w:cs="Gotham Pro"/>
          <w:sz w:val="24"/>
          <w:szCs w:val="24"/>
          <w:lang w:eastAsia="en-US"/>
        </w:rPr>
        <w:t>-с реестровым номером 03:05-6.948 (учетный номер 03.05.2.948 охранная зона волоконно-оптической линии связи, РБ, Еравнинский район, с. Сосново-Озерское, п. Ширинга, с. Гунда, с. Исинга;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Style w:val="13"/>
          <w:rFonts w:hint="default" w:ascii="Gotham Pro" w:hAnsi="Gotham Pro"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Style w:val="13"/>
          <w:rFonts w:hint="default" w:ascii="Gotham Pro" w:hAnsi="Gotham Pro" w:cs="Gotham Pro"/>
          <w:sz w:val="24"/>
          <w:szCs w:val="24"/>
          <w:lang w:eastAsia="en-US"/>
        </w:rPr>
        <w:t>- с реестровым номером 03:05-6.489 (учетный номер 03.05.2.215) ВОЛС «Муфта (М25в ВОЛС ПАО «МТС») - Республика Бурятия, Еравнинский район, с. Сосново-Озерское, ул. Краснопартизанская, БС03-100»</w:t>
      </w:r>
      <w:r>
        <w:rPr>
          <w:rFonts w:hint="default" w:ascii="Gotham Pro" w:hAnsi="Gotham Pro" w:eastAsia="Calibri" w:cs="Gotham Pro"/>
          <w:sz w:val="24"/>
          <w:szCs w:val="24"/>
          <w:lang w:eastAsia="en-US"/>
        </w:rPr>
        <w:t>.</w:t>
      </w:r>
    </w:p>
    <w:bookmarkEnd w:id="22"/>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силу постановления Правительства РФ от 09.06.1995 № 578 «Об утверждении правил охраны линий и сооружений связи РФ» 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а) 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б) 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в) производить посадку деревьев, располагать полевые станы, содержать скот, складировать материалы, корма и удобрения, жечь костры, устраивать стрельбища;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е) 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ж) производить защиту подземных коммуникаций от коррозии без учета проходящих подземных кабельных линий связи.</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а) 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б) 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г) огораживать трассы линий связи, препятствуя свободному доступу к ним технического персонала;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xml:space="preserve">д) самовольно подключаться к абонентской телефонной линии и линии радиофикации в целях пользования услугами связи; </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е) 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bookmarkStart w:id="23" w:name="_Hlk126052062"/>
      <w:r>
        <w:rPr>
          <w:rFonts w:hint="default" w:ascii="Gotham Pro" w:hAnsi="Gotham Pro" w:cs="Gotham Pro"/>
          <w:b/>
          <w:bCs/>
          <w:sz w:val="24"/>
          <w:szCs w:val="24"/>
        </w:rPr>
        <w:t>Зона ограничений передающего радиотехнического объекта, являющегося объектом капитального строительства</w:t>
      </w:r>
    </w:p>
    <w:bookmarkEnd w:id="23"/>
    <w:p>
      <w:pPr>
        <w:pStyle w:val="21"/>
        <w:keepNext w:val="0"/>
        <w:keepLines w:val="0"/>
        <w:pageBreakBefore w:val="0"/>
        <w:shd w:val="clear" w:color="auto"/>
        <w:tabs>
          <w:tab w:val="left" w:pos="993"/>
        </w:tabs>
        <w:kinsoku/>
        <w:wordWrap/>
        <w:overflowPunct/>
        <w:topLinePunct w:val="0"/>
        <w:bidi w:val="0"/>
        <w:adjustRightInd/>
        <w:snapToGrid/>
        <w:spacing w:line="300" w:lineRule="auto"/>
        <w:ind w:left="0" w:leftChars="0" w:firstLine="439" w:firstLineChars="183"/>
        <w:textAlignment w:val="auto"/>
        <w:rPr>
          <w:rFonts w:hint="default" w:ascii="Gotham Pro" w:hAnsi="Gotham Pro" w:cs="Gotham Pro"/>
          <w:sz w:val="24"/>
          <w:szCs w:val="24"/>
        </w:rPr>
      </w:pPr>
      <w:bookmarkStart w:id="24" w:name="_Hlk126052037"/>
      <w:r>
        <w:rPr>
          <w:rFonts w:hint="default" w:ascii="Gotham Pro" w:hAnsi="Gotham Pro" w:cs="Gotham Pro"/>
          <w:sz w:val="24"/>
          <w:szCs w:val="24"/>
        </w:rPr>
        <w:t>В ЕГРН содержатся сведения о зоне ограничения от передающего радиотехнического объекта базовой станции №03-100 сети сотовой радиотелевизионной связи ПАО «МТС» стандарта GSM-900/DCS-1800/UMTS-2100 с реестровым номером 03:05-6.605 (учетный номер 03.05.2.947).</w:t>
      </w:r>
    </w:p>
    <w:bookmarkEnd w:id="24"/>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b/>
          <w:bCs/>
          <w:sz w:val="24"/>
          <w:szCs w:val="24"/>
          <w:shd w:val="clear" w:color="auto" w:fill="FFFFFF"/>
        </w:rPr>
      </w:pPr>
      <w:r>
        <w:rPr>
          <w:rFonts w:hint="default" w:ascii="Gotham Pro" w:hAnsi="Gotham Pro" w:cs="Gotham Pro"/>
          <w:b/>
          <w:bCs/>
          <w:sz w:val="24"/>
          <w:szCs w:val="24"/>
          <w:shd w:val="clear" w:color="auto" w:fill="FFFFFF"/>
        </w:rPr>
        <w:t>Охранная зона стационарного пункта наблюдений за состоянием окружающей природной среды</w:t>
      </w:r>
    </w:p>
    <w:p>
      <w:pPr>
        <w:pStyle w:val="11"/>
        <w:keepNext w:val="0"/>
        <w:keepLines w:val="0"/>
        <w:pageBreakBefore w:val="0"/>
        <w:kinsoku/>
        <w:wordWrap/>
        <w:overflowPunct/>
        <w:topLinePunct w:val="0"/>
        <w:bidi w:val="0"/>
        <w:adjustRightInd/>
        <w:snapToGrid/>
        <w:spacing w:line="300" w:lineRule="auto"/>
        <w:ind w:left="0" w:leftChars="0" w:firstLine="439" w:firstLineChars="183"/>
        <w:jc w:val="both"/>
        <w:textAlignment w:val="auto"/>
        <w:rPr>
          <w:rFonts w:hint="default" w:ascii="Gotham Pro" w:hAnsi="Gotham Pro" w:cs="Gotham Pro"/>
          <w:sz w:val="24"/>
          <w:szCs w:val="24"/>
          <w:shd w:val="clear" w:color="auto" w:fill="FFFFFF"/>
        </w:rPr>
      </w:pPr>
      <w:r>
        <w:rPr>
          <w:rFonts w:hint="default" w:ascii="Gotham Pro" w:hAnsi="Gotham Pro" w:cs="Gotham Pro"/>
          <w:sz w:val="24"/>
          <w:szCs w:val="24"/>
          <w:shd w:val="clear" w:color="auto" w:fill="FFFFFF"/>
        </w:rPr>
        <w:t xml:space="preserve">На территории МО СП «Сосново-Озерское» расположены пункты государственной наблюдательной сети </w:t>
      </w:r>
      <w:r>
        <w:rPr>
          <w:rFonts w:hint="default" w:ascii="Gotham Pro" w:hAnsi="Gotham Pro" w:cs="Gotham Pro"/>
          <w:sz w:val="24"/>
          <w:szCs w:val="24"/>
        </w:rPr>
        <w:t>Бурятского ЦГМС – филиала ФГБУ «Забайкальское УГМС»</w:t>
      </w:r>
      <w:r>
        <w:rPr>
          <w:rFonts w:hint="default" w:ascii="Gotham Pro" w:hAnsi="Gotham Pro" w:cs="Gotham Pro"/>
          <w:sz w:val="24"/>
          <w:szCs w:val="24"/>
          <w:shd w:val="clear" w:color="auto" w:fill="FFFFFF"/>
        </w:rPr>
        <w:t>, указанные в таблице 6.-1.</w:t>
      </w:r>
    </w:p>
    <w:p>
      <w:pPr>
        <w:pStyle w:val="11"/>
        <w:spacing w:line="276" w:lineRule="auto"/>
        <w:ind w:firstLine="567"/>
        <w:jc w:val="both"/>
        <w:rPr>
          <w:rFonts w:ascii="Times New Roman" w:hAnsi="Times New Roman" w:cs="Times New Roman"/>
          <w:sz w:val="28"/>
          <w:szCs w:val="28"/>
          <w:shd w:val="clear" w:color="auto" w:fill="FFFFFF"/>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 xml:space="preserve">Перечень стационарных пунктов государственной наблюдательной сети, </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расположенных на территории МО СП «Сосново-Озерское»</w:t>
      </w:r>
    </w:p>
    <w:p>
      <w:pPr>
        <w:pStyle w:val="11"/>
        <w:jc w:val="right"/>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таблица 6.-1</w:t>
      </w:r>
    </w:p>
    <w:tbl>
      <w:tblPr>
        <w:tblStyle w:val="3"/>
        <w:tblpPr w:leftFromText="180" w:rightFromText="180" w:vertAnchor="text" w:horzAnchor="page" w:tblpX="1738" w:tblpY="201"/>
        <w:tblOverlap w:val="never"/>
        <w:tblW w:w="494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280"/>
        <w:gridCol w:w="1226"/>
        <w:gridCol w:w="1972"/>
        <w:gridCol w:w="1468"/>
        <w:gridCol w:w="1196"/>
        <w:gridCol w:w="1308"/>
        <w:gridCol w:w="12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66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Пункт наблюдени</w:t>
            </w:r>
            <w:r>
              <w:rPr>
                <w:rFonts w:hint="default" w:ascii="Gotham Pro" w:hAnsi="Gotham Pro" w:cs="Gotham Pro"/>
                <w:sz w:val="20"/>
                <w:szCs w:val="20"/>
                <w:lang w:val="ru-RU" w:eastAsia="en-US"/>
              </w:rPr>
              <w:t>я</w:t>
            </w:r>
          </w:p>
        </w:tc>
        <w:tc>
          <w:tcPr>
            <w:tcW w:w="63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 xml:space="preserve">Наименование </w:t>
            </w:r>
            <w:r>
              <w:rPr>
                <w:rFonts w:hint="default" w:ascii="Gotham Pro" w:hAnsi="Gotham Pro" w:cs="Gotham Pro"/>
                <w:sz w:val="20"/>
                <w:szCs w:val="20"/>
                <w:lang w:val="ru-RU" w:eastAsia="en-US"/>
              </w:rPr>
              <w:t>наблюдательного</w:t>
            </w:r>
            <w:r>
              <w:rPr>
                <w:rFonts w:hint="default" w:ascii="Gotham Pro" w:hAnsi="Gotham Pro" w:cs="Gotham Pro"/>
                <w:sz w:val="20"/>
                <w:szCs w:val="20"/>
                <w:lang w:eastAsia="en-US"/>
              </w:rPr>
              <w:t xml:space="preserve"> подразделения</w:t>
            </w:r>
          </w:p>
        </w:tc>
        <w:tc>
          <w:tcPr>
            <w:tcW w:w="1021"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Почтовый ориентир</w:t>
            </w:r>
          </w:p>
        </w:tc>
        <w:tc>
          <w:tcPr>
            <w:tcW w:w="760"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Кадастровый номер</w:t>
            </w:r>
          </w:p>
        </w:tc>
        <w:tc>
          <w:tcPr>
            <w:tcW w:w="619"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Категория земель</w:t>
            </w:r>
          </w:p>
        </w:tc>
        <w:tc>
          <w:tcPr>
            <w:tcW w:w="67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Разрешен</w:t>
            </w:r>
            <w:r>
              <w:rPr>
                <w:rFonts w:hint="default" w:ascii="Gotham Pro" w:hAnsi="Gotham Pro" w:cs="Gotham Pro"/>
                <w:sz w:val="20"/>
                <w:szCs w:val="20"/>
                <w:lang w:val="ru-RU" w:eastAsia="en-US"/>
              </w:rPr>
              <w:t>-</w:t>
            </w:r>
            <w:r>
              <w:rPr>
                <w:rFonts w:hint="default" w:ascii="Gotham Pro" w:hAnsi="Gotham Pro" w:cs="Gotham Pro"/>
                <w:sz w:val="20"/>
                <w:szCs w:val="20"/>
                <w:lang w:eastAsia="en-US"/>
              </w:rPr>
              <w:t xml:space="preserve">ное использование </w:t>
            </w:r>
          </w:p>
        </w:tc>
        <w:tc>
          <w:tcPr>
            <w:tcW w:w="623" w:type="pct"/>
            <w:shd w:val="clear" w:color="auto" w:fill="auto"/>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 xml:space="preserve">Площадь, </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м</w:t>
            </w:r>
            <w:r>
              <w:rPr>
                <w:rFonts w:hint="default" w:ascii="Gotham Pro" w:hAnsi="Gotham Pro" w:cs="Gotham Pro"/>
                <w:sz w:val="20"/>
                <w:szCs w:val="20"/>
                <w:vertAlign w:val="superscript"/>
                <w:lang w:eastAsia="en-US"/>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66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635"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021"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760"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c>
          <w:tcPr>
            <w:tcW w:w="619"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5</w:t>
            </w:r>
          </w:p>
        </w:tc>
        <w:tc>
          <w:tcPr>
            <w:tcW w:w="677"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6</w:t>
            </w:r>
          </w:p>
        </w:tc>
        <w:tc>
          <w:tcPr>
            <w:tcW w:w="623"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63"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озёрная гидрометеостанция</w:t>
            </w:r>
          </w:p>
        </w:tc>
        <w:tc>
          <w:tcPr>
            <w:tcW w:w="63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О Сосново-Озёрское</w:t>
            </w:r>
          </w:p>
        </w:tc>
        <w:tc>
          <w:tcPr>
            <w:tcW w:w="1021" w:type="pct"/>
            <w:shd w:val="clear" w:color="auto" w:fill="auto"/>
            <w:vAlign w:val="top"/>
          </w:tcPr>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Еравнинский район,</w:t>
            </w:r>
          </w:p>
          <w:p>
            <w:pPr>
              <w:pStyle w:val="11"/>
              <w:jc w:val="center"/>
              <w:rPr>
                <w:rFonts w:hint="default" w:ascii="Gotham Pro" w:hAnsi="Gotham Pro" w:cs="Gotham Pro"/>
                <w:sz w:val="20"/>
                <w:szCs w:val="20"/>
                <w:lang w:eastAsia="en-US"/>
              </w:rPr>
            </w:pPr>
            <w:r>
              <w:rPr>
                <w:rFonts w:hint="default" w:ascii="Gotham Pro" w:hAnsi="Gotham Pro" w:cs="Gotham Pro"/>
                <w:sz w:val="20"/>
                <w:szCs w:val="20"/>
                <w:lang w:eastAsia="en-US"/>
              </w:rPr>
              <w:t xml:space="preserve"> с.Сосново-Озёрское,</w:t>
            </w:r>
          </w:p>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ул. Байкальская,9 озерная метеостанция  Сосново-Озёрское</w:t>
            </w:r>
          </w:p>
        </w:tc>
        <w:tc>
          <w:tcPr>
            <w:tcW w:w="760"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03:05:100113:20</w:t>
            </w:r>
          </w:p>
        </w:tc>
        <w:tc>
          <w:tcPr>
            <w:tcW w:w="619" w:type="pct"/>
            <w:vMerge w:val="restart"/>
            <w:shd w:val="clear" w:color="auto" w:fill="auto"/>
            <w:vAlign w:val="center"/>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земли населён</w:t>
            </w:r>
            <w:r>
              <w:rPr>
                <w:rFonts w:hint="default" w:ascii="Gotham Pro" w:hAnsi="Gotham Pro" w:cs="Gotham Pro"/>
                <w:sz w:val="20"/>
                <w:szCs w:val="20"/>
                <w:lang w:val="ru-RU" w:eastAsia="en-US"/>
              </w:rPr>
              <w:t>-</w:t>
            </w:r>
            <w:r>
              <w:rPr>
                <w:rFonts w:hint="default" w:ascii="Gotham Pro" w:hAnsi="Gotham Pro" w:cs="Gotham Pro"/>
                <w:sz w:val="20"/>
                <w:szCs w:val="20"/>
                <w:lang w:eastAsia="en-US"/>
              </w:rPr>
              <w:t>ных пунктов</w:t>
            </w:r>
          </w:p>
        </w:tc>
        <w:tc>
          <w:tcPr>
            <w:tcW w:w="67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для озёрной станции Сосново-Озёрское</w:t>
            </w:r>
          </w:p>
        </w:tc>
        <w:tc>
          <w:tcPr>
            <w:tcW w:w="6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8000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63"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озерный гидрологический пост</w:t>
            </w:r>
          </w:p>
        </w:tc>
        <w:tc>
          <w:tcPr>
            <w:tcW w:w="63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ОГП-1 с. Гарам - оз. Большое Еравное</w:t>
            </w:r>
          </w:p>
        </w:tc>
        <w:tc>
          <w:tcPr>
            <w:tcW w:w="1021"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Еравнинский район, пос.Гарам</w:t>
            </w:r>
          </w:p>
        </w:tc>
        <w:tc>
          <w:tcPr>
            <w:tcW w:w="760"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03:05:250136:35</w:t>
            </w:r>
          </w:p>
        </w:tc>
        <w:tc>
          <w:tcPr>
            <w:tcW w:w="619"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7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под пункты гидрологических наблюдений</w:t>
            </w:r>
          </w:p>
        </w:tc>
        <w:tc>
          <w:tcPr>
            <w:tcW w:w="6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4000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663" w:type="pct"/>
            <w:shd w:val="clear" w:color="auto" w:fill="auto"/>
            <w:vAlign w:val="top"/>
          </w:tcPr>
          <w:p>
            <w:pPr>
              <w:pStyle w:val="11"/>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озерный гидрологический пост</w:t>
            </w:r>
          </w:p>
        </w:tc>
        <w:tc>
          <w:tcPr>
            <w:tcW w:w="635"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ОГП-1 с.Сосново-Озерское – оз.Сосновое</w:t>
            </w:r>
          </w:p>
        </w:tc>
        <w:tc>
          <w:tcPr>
            <w:tcW w:w="1021"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Еравнинский район, с.Сосново-Озёрское в восточной части с.Сосново-Озерское в 70 м. к северо-западу от метеоплощадки</w:t>
            </w:r>
          </w:p>
        </w:tc>
        <w:tc>
          <w:tcPr>
            <w:tcW w:w="760"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03:05:100113:50</w:t>
            </w:r>
          </w:p>
        </w:tc>
        <w:tc>
          <w:tcPr>
            <w:tcW w:w="619"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677"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под пункты гидрологических наблюдений</w:t>
            </w:r>
          </w:p>
        </w:tc>
        <w:tc>
          <w:tcPr>
            <w:tcW w:w="623" w:type="pct"/>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lang w:eastAsia="en-US"/>
              </w:rPr>
              <w:t>4000</w:t>
            </w:r>
          </w:p>
        </w:tc>
      </w:tr>
    </w:tbl>
    <w:p>
      <w:pPr>
        <w:pStyle w:val="11"/>
        <w:jc w:val="right"/>
        <w:rPr>
          <w:rFonts w:hint="default" w:ascii="Gotham Pro" w:hAnsi="Gotham Pro" w:cs="Gotham Pro"/>
          <w:sz w:val="20"/>
          <w:szCs w:val="20"/>
          <w:shd w:val="clear" w:color="auto" w:fill="FFFFFF"/>
        </w:rPr>
      </w:pPr>
    </w:p>
    <w:p>
      <w:pPr>
        <w:pStyle w:val="11"/>
        <w:jc w:val="right"/>
        <w:rPr>
          <w:rFonts w:hint="default" w:ascii="Gotham Pro" w:hAnsi="Gotham Pro" w:cs="Gotham Pro"/>
          <w:sz w:val="20"/>
          <w:szCs w:val="20"/>
          <w:shd w:val="clear" w:color="auto" w:fill="FFFFFF"/>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целях получения достоверной информации о состоянии окружающей природной среды, ее загрязнении вокруг стационарных пунктов наблюдений, создаются охранные зоны в виде земельных участков, ограниченных на плане местности замкнутой линией, отстоящей от границ этих пунктов на расстоянии, как правило</w:t>
      </w:r>
      <w:r>
        <w:rPr>
          <w:rFonts w:hint="default" w:ascii="Gotham Pro" w:hAnsi="Gotham Pro" w:cs="Gotham Pro"/>
          <w:sz w:val="24"/>
          <w:szCs w:val="24"/>
          <w:lang w:val="ru-RU"/>
        </w:rPr>
        <w:t>,</w:t>
      </w:r>
      <w:r>
        <w:rPr>
          <w:rFonts w:hint="default" w:ascii="Gotham Pro" w:hAnsi="Gotham Pro" w:cs="Gotham Pro"/>
          <w:sz w:val="24"/>
          <w:szCs w:val="24"/>
        </w:rPr>
        <w:t xml:space="preserve"> 200 метров во все стороны.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Нормативно-правовыми актами, регламентирующими контроль за соблюдением хозяйственной деятельности в пределах охранных зон на территории РоссийскойФедерации, являются: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Федеральный закон от 19.07.1998 года №113-ФЗ «О Гидрометслужбе»;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постановление Правительства РФ от 27.08.1999 № 972 «Об утверждении Положения о создании охранных зон стационарных пунктов наблюдений за состоянием окружающей природной среды, ее загрязнением»;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постановление Совета Министров СССР от 06.01.1983 № 19.</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xml:space="preserve">В пределах охранной зоны стационарных пунктов наблюдений устанавливаются ограничения на хозяйственную деятельность, которая может отразиться на достоверности информации о состоянии окружающей природной среды, ее загрязнении. Земельные участки входящие в охранные зоны гидрометеорологических станция не изымаются у землепользователей (водопользователей) и используются ими с соблюдением установленных требований. В охранных зонах гидрометеорологических станций, входящих в перечень реперных климатических гидрометеорологических наблюдений, запрещается: возводить любые здания и сооружения; сооружать оросительные и осушительные системы; производить горные, строительные, монтажные, взрывные работы и планировку грунта; высаживать деревья, складировать удобрения, устраивать свалки, сливать растворы кислот, солей, щелочей; устраивать стоянки автомобильного и водного транспорта, тракторов и других машин и механизмов; сооружать причалы и пристани; перемещать и производить засыпку и поломку опознавательных знаков, контрольно-измерительных пунктов; производить дноуглубительные и землечерпательные работы; производить добычу рыбы, а так же водных животных и растений. В пределах охранной зоны стационарных пунктов наблюдений является обязательным для всех юридических и физических лиц, являющихся собственниками, владельцами и пользователями земельных участков, расположенных в пределах охранной зоны стационарных пунктов наблюдений, либо осуществляющих в границах указанных земельных участков любую хозяйственную и иную деятельность (работы) запрещается: а) возводить любые здания и сооружения; б) производить горные, строительные, монтажные, взрывные работы и планировку грунта; в) высаживать деревья, складировать удобрения; г) прокладывать и сооружать железные, автомобильные и другие дороги, контактные линии трамвая, троллейбуса, высоковольтные линии электропередач, энергетические установки; д) устраивать стоянки автомобильного транспорта, тракторов и других машин и механизмов; е) размещать, перемещать, повреждать и уничтожать опознавательные и сигнальные знаки, контрольно-измерительные пункты; ж) проводить сельскохозяйственные работы, связанные с распахиванием почв и внесением минеральных удобрений. В пределах охранной зоны стационарных пунктов наблюдений на указанных расстояниях от границ стационарных пунктов наблюдений запрещается: а) возведение зданий и сооружений - на расстоянии 10-кратной и менее высоты возводимых одиночных зданий, сооружений, и на расстоянии 20-кратной и менее высоты двух и более возводимых зданий, сооружений, примыкающих друг к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другу и образующих группу построек; б) высаживание деревьев и кустарников – на расстоянии 10-кратной и менее высоты отдельных деревьев, кустарников и 20-кратной и менее высоты сплошного леса или лесных полос; в) создание искусственных водных объектов, орошение (полив) сельскохозяйственных культур – на расстоянии 120 м и менее; г) прокладка теплотрасс и других трубопроводов, производство планировки грунта – на расстоянии 100 м и менее; д) производство геологоразведочных работ – на расстоянии 100 м и менее. Хозяйственная и иная деятельность (работы) в охранойх зоне стационарных пунктов наблюдений осуществляется собственниками, владельцами и пользователями земельных участков при условии письменного предварительного уведомления учреждения, в управлении которого находится стационарный пункт наблюдений, не менее чем за 3 рабочих дня до начала работ. Хозяйственная и иная деятельность (работы) в охранной зоне стационарных пунктов наблюдений на расстоянии, превышающем предусмотренное пунктом 2 осуществляется собственниками, владельцами и пользователями земельных участков при условии письменного предварительного уведомления учреждения, в управлении которого находится стационарный пункт наблюдений, не менее чем за 3рабочих дня до начала работ.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b/>
          <w:bCs/>
          <w:sz w:val="24"/>
          <w:szCs w:val="24"/>
        </w:rPr>
      </w:pPr>
      <w:bookmarkStart w:id="25" w:name="_Hlk121472563"/>
      <w:r>
        <w:rPr>
          <w:rFonts w:hint="default" w:ascii="Gotham Pro" w:hAnsi="Gotham Pro" w:eastAsia="Calibri" w:cs="Gotham Pro"/>
          <w:b/>
          <w:bCs/>
          <w:sz w:val="24"/>
          <w:szCs w:val="24"/>
        </w:rPr>
        <w:t>Охранная зона трубопроводов</w:t>
      </w:r>
    </w:p>
    <w:bookmarkEnd w:id="25"/>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Постановлением Правительства РФ от 08.09.2017 № 1083 утверждены Правила охраны магистральных газопроводов, согласно пункту 3 которых, охранные зоны объектов магистральных газопроводов установлены в следующих размерах: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соответствии с пунктом 4 указанных Правил в охранных зонах запрещается: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а) 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б) 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устраивать свалки, осуществлять сброс и слив едких и коррозионно-агрессивных веществ и горюче-смазочных материалов;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г) складировать любые материалы, в том числе горюче-смазочные, или размещать хранилища любых материалов;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д) 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е) 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ж) 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з) проводить работы с использованием ударно-импульсных устройств и вспомогательных механизмов, сбрасывать грузы;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и) осуществлять рекреационную деятельность, кроме деятельности, предусмотренной подпунктом «ж» пункта 6 Правил, разводить костры и размещать источники огня;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к) огораживать и перегораживать охранные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л) размещать какие-либо здания, строения, сооружения, не относящиеся к объектам, указанным в пункте 2 Правил;</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м) осуществлять несанкционированное подключение (присоединение) к магистральному газопроводу.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охранных зонах с письменного разрешения собственника магистрального газопровода или организации, эксплуатирующей магистральный газопровод, допускается проводить работы, указанные в пункте 6 Правил.</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b/>
          <w:bCs/>
          <w:sz w:val="24"/>
          <w:szCs w:val="24"/>
        </w:rPr>
      </w:pPr>
      <w:r>
        <w:rPr>
          <w:rFonts w:hint="default" w:ascii="Gotham Pro" w:hAnsi="Gotham Pro" w:eastAsia="Calibri" w:cs="Gotham Pro"/>
          <w:b/>
          <w:bCs/>
          <w:sz w:val="24"/>
          <w:szCs w:val="24"/>
        </w:rPr>
        <w:t>Охранные зоны железных дорог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xml:space="preserve">Статьей 9 Федерального закона от 10.01.2003 № 17-ФЗ «О железнодорожном транспорте в Российской Федерации» установлено, что в целях обеспечения безопасной эксплуатации железнодорожных путей 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других объектов железнодорожного транспорта, а также безопасности населения, работников железнодорожного транспорта и пассажиров в местах, подверженных оползням, обвалам, размывам, селям и другим негативным воздействиям, и в местах движения скоростных поездов устанавливаются охранные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Постановлением Правительства Российской Федерации от 12.10.2006 № 611 утвержден Порядок установления и использования полос отвода и охранных зон железных дорог. Согласно пунктам 7-9 указанного Порядка</w:t>
      </w:r>
      <w:r>
        <w:rPr>
          <w:rFonts w:hint="default" w:ascii="Gotham Pro" w:hAnsi="Gotham Pro" w:cs="Gotham Pro"/>
          <w:sz w:val="24"/>
          <w:szCs w:val="24"/>
        </w:rPr>
        <w:t xml:space="preserve"> г</w:t>
      </w:r>
      <w:r>
        <w:rPr>
          <w:rFonts w:hint="default" w:ascii="Gotham Pro" w:hAnsi="Gotham Pro" w:eastAsia="Calibri" w:cs="Gotham Pro"/>
          <w:sz w:val="24"/>
          <w:szCs w:val="24"/>
        </w:rPr>
        <w:t>раницы охранных зон железных дорог могут устанавливаться по решению Федерального агентства железнодорожного транспорта в случае прохождения железнодорожных путей: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а) в местах, подверженных снежным обвалам (лавинам), оползням, размывам, селевым потокам, оврагообразованию, карстообразованию и другим опасным геологическим воздействиям;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б) в районах подвижных песков;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по лесам, выполняющим функции защитных лесонасаждений, в том числе по лесам в поймах рек и вдоль поверхностных водных объектов;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г) по лесам, где сплошная вырубка древостоя может отразиться на устойчивости склонов гор и холмов и привести к образованию оползней, осыпей, оврагов или вызвать появление селевых потоков и снежных обвалов (лавин), повлиять на сохранность, устойчивость и прочность железнодорожных путей.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границах охранных зон в целях обеспечения безопасности движения и эксплуатации железнодорожного транспорта могут быть установлены запреты или ограничения на осуществление следующих видов деятельности: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строительство капитальных зданий и сооружений, устройство временных дорог, вырубка древесной и кустарниковой растительности, удаление дернового покрова, проведение земляных работ, за исключением случаев, когда осуществление указанной деятельности необходимо для обеспечения устойчивой, бесперебойной и безопасной работы железнодорожного транспорта, повышения качества обслуживания пользователей услугами железнодорожного транспорта, а также в связи с устройством, обслуживанием и ремонтом линейных сооружений;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распашка земель;</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выпас скота;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выпуск поверхностных и хозяйственно-бытовых вод.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Приказом Минтранса РФ от 06.08.2008 № 126 утверждены нормы отвода земельных участков, необходимых для формирования полосы отвода железных дорог, а также нормы расчета охранных зон железных дорог,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согласно которому  за пределами полосы отвода, где должны быть проведены фитомелиоративные мероприятия, устанавливается зона охранного назначения, где запрещаются действия, увеличивающие подвижность песков (уничтожение растительности, нарушение почвенного покрова транспортной техникой, выпас скота).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26" w:name="100104"/>
      <w:bookmarkEnd w:id="26"/>
      <w:r>
        <w:rPr>
          <w:rFonts w:hint="default" w:ascii="Gotham Pro" w:hAnsi="Gotham Pro" w:cs="Gotham Pro"/>
          <w:sz w:val="24"/>
          <w:szCs w:val="24"/>
        </w:rPr>
        <w:t>Ширина охранной зоны должна быть:</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27" w:name="100105"/>
      <w:bookmarkEnd w:id="27"/>
      <w:r>
        <w:rPr>
          <w:rFonts w:hint="default" w:ascii="Gotham Pro" w:hAnsi="Gotham Pro" w:cs="Gotham Pro"/>
          <w:sz w:val="24"/>
          <w:szCs w:val="24"/>
        </w:rPr>
        <w:t>не менее 500 метров - в пустынных и полупустынных районах;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bookmarkStart w:id="28" w:name="100106"/>
      <w:bookmarkEnd w:id="28"/>
      <w:r>
        <w:rPr>
          <w:rFonts w:hint="default" w:ascii="Gotham Pro" w:hAnsi="Gotham Pro" w:cs="Gotham Pro"/>
          <w:sz w:val="24"/>
          <w:szCs w:val="24"/>
        </w:rPr>
        <w:t>не менее 100 метров - в остальных районах.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b/>
          <w:bCs/>
          <w:sz w:val="24"/>
          <w:szCs w:val="24"/>
          <w:lang w:eastAsia="en-US"/>
        </w:rPr>
      </w:pPr>
      <w:bookmarkStart w:id="29" w:name="_Hlk128482561"/>
      <w:r>
        <w:rPr>
          <w:rFonts w:hint="default" w:ascii="Gotham Pro" w:hAnsi="Gotham Pro" w:eastAsia="Calibri" w:cs="Gotham Pro"/>
          <w:b/>
          <w:bCs/>
          <w:sz w:val="24"/>
          <w:szCs w:val="24"/>
          <w:lang w:eastAsia="en-US"/>
        </w:rPr>
        <w:t xml:space="preserve">Санитарно-защитные зоны </w:t>
      </w:r>
    </w:p>
    <w:bookmarkEnd w:id="29"/>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Санитарно-защитные зоны определяются в соответствии с СанПиН 2.2.1/2.1.1.1200-03 «Санитарно-защитные зоны и санитарная классификация предприятий, сооружений и иных объектов», СП 42.13330.2016 «СНиП 2.07.01-89* Градостроительство.Планировка и застройка городских и сельских поселений» и других нормативных документов. Для новых предприятий обосновывается проект расчетной (предварительной), а затем установленной (окончательной) санитарно-защитной 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По своему функциональному значению санитарно-защитная зона является защитным барьером, обеспечивающим уровень безопасности населения при эксплуатации объекта в штатном режиме.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Санитарно-защитные зоны от сельскохозяйственных и производственно-коммунальных предприятий: для предприятий устанавливаются следующие ориентировочные размеры санитарно-защитных зон: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промышленные объекты и производства первого класса - 1000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промышленные объекты и производства второго класса - 500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промышленные объекты и производства третьего класса - 300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промышленные объекты и производства четвертого класса - 100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промышленные объекты и производства пятого класса - 50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В границах сельского поселения находятся производственно-коммунальные предприятия, объекты специального назначения: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кладбище – 50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объект дорожного сервиса – 50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cs="Gotham Pro"/>
          <w:sz w:val="24"/>
          <w:szCs w:val="24"/>
          <w:shd w:val="clear" w:color="auto" w:fill="FFFFFF"/>
        </w:rPr>
        <w:t>- пункты приема, отгрузки и хранения древесины – 100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кирпичный завод в с. Укыр - 300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газозаправочная станция – 100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 предприятие добывающей промышленности на Озерном месторождении полиметаллических руд - 1000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Санитарные разрывы от автомобильных дорог: величина санитарного разрыва от бровки земляного полотна автомобильных дорог до застройки необходимо принимать не менее для дорог:</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I, II, III категорий до жилой застройки — 100 м, до садоводческих, огороднических, дачных объединений — 50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IV категории до жилой застройки — 50 м, до садоводческих огороднических, дачных объединений — 25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eastAsia="en-US"/>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территории садоводческих товариществ и коттеджной застройки, коллективных или индивидуальных дачных и садово-огородных участков, а также другие территории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 (п. 5.1. СанПиН 2.2.1/2.1.1.1200-03). 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(п. 5.2. СанПиН 2.2.1/2.1.1.1200-03).</w:t>
      </w:r>
    </w:p>
    <w:p>
      <w:pPr>
        <w:pStyle w:val="11"/>
        <w:keepNext w:val="0"/>
        <w:keepLines w:val="0"/>
        <w:pageBreakBefore w:val="0"/>
        <w:widowControl/>
        <w:shd w:val="clea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b/>
          <w:bCs/>
          <w:color w:val="auto"/>
          <w:sz w:val="24"/>
          <w:szCs w:val="24"/>
          <w:shd w:val="clear" w:color="auto" w:fill="auto"/>
          <w:lang w:val="ru-RU" w:eastAsia="en-US"/>
        </w:rPr>
      </w:pPr>
      <w:r>
        <w:rPr>
          <w:rFonts w:hint="default" w:ascii="Gotham Pro" w:hAnsi="Gotham Pro" w:eastAsia="Calibri" w:cs="Gotham Pro"/>
          <w:b/>
          <w:bCs/>
          <w:color w:val="auto"/>
          <w:sz w:val="24"/>
          <w:szCs w:val="24"/>
          <w:shd w:val="clear" w:color="auto" w:fill="auto"/>
          <w:lang w:val="ru-RU" w:eastAsia="en-US"/>
        </w:rPr>
        <w:t>Территории объектов культурного наследия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sz w:val="24"/>
          <w:szCs w:val="24"/>
          <w:lang w:val="ru-RU" w:eastAsia="en-US"/>
        </w:rPr>
      </w:pPr>
      <w:r>
        <w:rPr>
          <w:rFonts w:hint="default" w:ascii="Gotham Pro" w:hAnsi="Gotham Pro" w:eastAsia="Calibri" w:cs="Gotham Pro"/>
          <w:sz w:val="24"/>
          <w:szCs w:val="24"/>
          <w:lang w:val="ru-RU" w:eastAsia="en-US"/>
        </w:rPr>
        <w:t>Требования к ведению деятельности в</w:t>
      </w:r>
      <w:r>
        <w:rPr>
          <w:rFonts w:hint="default" w:ascii="Gotham Pro" w:hAnsi="Gotham Pro" w:eastAsia="Calibri"/>
          <w:sz w:val="24"/>
          <w:szCs w:val="24"/>
          <w:lang w:eastAsia="en-US"/>
        </w:rPr>
        <w:t xml:space="preserve"> границах территории объекта культурного наследия</w:t>
      </w:r>
      <w:r>
        <w:rPr>
          <w:rFonts w:hint="default" w:ascii="Gotham Pro" w:hAnsi="Gotham Pro" w:eastAsia="Calibri"/>
          <w:sz w:val="24"/>
          <w:szCs w:val="24"/>
          <w:lang w:val="ru-RU" w:eastAsia="en-US"/>
        </w:rPr>
        <w:t xml:space="preserve"> установлены статьей 5.1 Закона об объектах культурного наследия. </w:t>
      </w:r>
      <w:r>
        <w:rPr>
          <w:rFonts w:hint="default" w:ascii="Gotham Pro" w:hAnsi="Gotham Pro" w:eastAsia="Calibri" w:cs="Gotham Pro"/>
          <w:sz w:val="24"/>
          <w:szCs w:val="24"/>
          <w:lang w:val="ru-RU" w:eastAsia="en-US"/>
        </w:rPr>
        <w:t>Так, н</w:t>
      </w:r>
      <w:r>
        <w:rPr>
          <w:rFonts w:hint="default" w:ascii="Gotham Pro" w:hAnsi="Gotham Pro" w:eastAsia="Calibri"/>
          <w:sz w:val="24"/>
          <w:szCs w:val="24"/>
          <w:lang w:eastAsia="en-US"/>
        </w:rPr>
        <w:t>а территории памятника или ансамбля запрещаются строительство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r>
        <w:rPr>
          <w:rFonts w:hint="default" w:ascii="Gotham Pro" w:hAnsi="Gotham Pro" w:eastAsia="Calibri"/>
          <w:sz w:val="24"/>
          <w:szCs w:val="24"/>
          <w:lang w:val="ru-RU" w:eastAsia="en-US"/>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sz w:val="24"/>
          <w:szCs w:val="24"/>
          <w:lang w:val="ru-RU" w:eastAsia="en-US"/>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sz w:val="24"/>
          <w:szCs w:val="24"/>
          <w:lang w:val="ru-RU" w:eastAsia="en-US"/>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sz w:val="24"/>
          <w:szCs w:val="24"/>
          <w:lang w:val="ru-RU" w:eastAsia="en-US"/>
        </w:rPr>
      </w:pP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sz w:val="24"/>
          <w:szCs w:val="24"/>
          <w:lang w:val="ru-RU" w:eastAsia="en-US"/>
        </w:rPr>
      </w:pPr>
      <w:r>
        <w:rPr>
          <w:rFonts w:hint="default" w:ascii="Gotham Pro" w:hAnsi="Gotham Pro" w:eastAsia="Calibri"/>
          <w:sz w:val="24"/>
          <w:szCs w:val="24"/>
          <w:lang w:val="ru-RU" w:eastAsia="en-US"/>
        </w:rPr>
        <w:t>Н</w:t>
      </w:r>
      <w:r>
        <w:rPr>
          <w:rFonts w:hint="default" w:ascii="Gotham Pro" w:hAnsi="Gotham Pro" w:eastAsia="Calibri"/>
          <w:sz w:val="24"/>
          <w:szCs w:val="24"/>
          <w:lang w:eastAsia="en-US"/>
        </w:rPr>
        <w:t>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r>
        <w:rPr>
          <w:rFonts w:hint="default" w:ascii="Gotham Pro" w:hAnsi="Gotham Pro" w:eastAsia="Calibri"/>
          <w:sz w:val="24"/>
          <w:szCs w:val="24"/>
          <w:lang w:val="ru-RU" w:eastAsia="en-US"/>
        </w:rPr>
        <w:t>.</w:t>
      </w:r>
    </w:p>
    <w:p>
      <w:pPr>
        <w:pStyle w:val="11"/>
        <w:keepNext w:val="0"/>
        <w:keepLines w:val="0"/>
        <w:pageBreakBefore w:val="0"/>
        <w:widowControl/>
        <w:numPr>
          <w:ilvl w:val="0"/>
          <w:numId w:val="0"/>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sz w:val="24"/>
          <w:szCs w:val="24"/>
          <w:lang w:val="ru-RU" w:eastAsia="en-US"/>
        </w:rPr>
        <w:t>Н</w:t>
      </w:r>
      <w:r>
        <w:rPr>
          <w:rFonts w:hint="default" w:ascii="Gotham Pro" w:hAnsi="Gotham Pro" w:eastAsia="Calibri"/>
          <w:sz w:val="24"/>
          <w:szCs w:val="24"/>
          <w:lang w:eastAsia="en-US"/>
        </w:rPr>
        <w:t>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lang w:eastAsia="en-US"/>
        </w:rPr>
      </w:pPr>
      <w:r>
        <w:rPr>
          <w:rFonts w:hint="default" w:ascii="Gotham Pro" w:hAnsi="Gotham Pro" w:eastAsia="Calibri" w:cs="Gotham Pro"/>
          <w:sz w:val="24"/>
          <w:szCs w:val="24"/>
          <w:lang w:val="ru-RU" w:eastAsia="en-US"/>
        </w:rPr>
        <w:t>Кроме того, требуется учитывать особенности владения, пользования и распоряжения объектом культурного наследия, установленные статьями 47.1-47.6 Закона об объектах культурного наследия.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b/>
          <w:bCs/>
          <w:sz w:val="24"/>
          <w:szCs w:val="24"/>
        </w:rPr>
      </w:pPr>
      <w:r>
        <w:rPr>
          <w:rFonts w:hint="default" w:ascii="Gotham Pro" w:hAnsi="Gotham Pro" w:eastAsia="Calibri" w:cs="Gotham Pro"/>
          <w:b/>
          <w:bCs/>
          <w:sz w:val="24"/>
          <w:szCs w:val="24"/>
        </w:rPr>
        <w:t>Особо ценные сельскохозяйственные угодья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Границы зон особо ценных продуктивных сельскохозяйственных угодий, использование которых для целей, не связанных с ведением сельского хозяйства, не допускается, установлены постановлением Правительства Республики Бурятия от 20.12.2012 № 772 «Об утверждении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 (далее – Перечень).</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Постановлением Правительства Республики Бурятия от 13.09.2011№ 484 утвержден Порядок ведения Перечня особо ценных продуктивных сельскохозяйственных угодий, расположенных на территории Республики Бурятия, использование которых для целей, не связанных с ведением сельского хозяйства, не допускается (далее – Порядок).</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соответствии с пунктом 6 Порядка в Перечень включаются: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участки пашни, используемые для исследовательских, опытных целей, испытания сортов сельскохозяйственных культур, производства семян высших репродукций;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орошаемые и осушаемые земли с действующими оросительными и открытыми (закрытыми) осушительными системами;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сельскохозяйственные угодья, кадастровая стоимость которых превышает средний уровень кадастровой стоимости по муниципальному району более чем на 10 процентов;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сельскохозяйственные угодья с баллом продуктивности (бонитетом) выше среднерайонного показателя более чем на 10 процентов.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Согласно пункту 7 Порядка исключение сельскохозяйственных угодий из Перечня осуществляется в случаях: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предусмотренных пунктами 3, 6, 7, 8 части 1 статьи 7 Федерального закона от 21.12.2004 № 172-ФЗ «О переводе земель или земельных участков из состава земель одной категории в другую»;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несоответствия сельскохозяйственных угодий критериям, указанным в пункте 6 Порядка;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отнесения сельскохозяйственных угодий к землям сельскохозяйственного назначения садовые, огородные, дачные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земельные участки, на которых расположены объекты недвижимого имущества.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Пунктом 8 Порядка установлено, что для включения сельскохозяйственных угодий в Перечень или исключения из Перечня органы государственной власти Республики Бурятия, органы местного самоуправления, юридические лица и граждане, заинтересованные во включении сельскохозяйственных угодий в Перечень или исключении из Перечня, подают в Уполномоченный орган ходатайство. Форма ходатайства заполняется в бумажном виде согласно приложению. В ходатайстве указываются: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вид сельскохозяйственного угодья (пашня, залежь, сенокос, пастбище, земли, занятые многолетними насаждениями);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сведения о вещных правах на сельскохозяйственное угодье и об обладателях этих прав;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обоснование необходимости включения сельскохозяйственных угодий в Перечень или исключения сельскохозяйственных угодий из Перечня.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К ходатайству прилагаются: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копии документов, удостоверяющие личность заинтересованного лица - физического лица, представляются с предъявлением оригиналов, если копии нотариально не заверены;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заключения Министерства сельского хозяйства и продовольствия Республики Бурятия и Министерства имущественных и земельных отношений Республики Бурятия о соответствии или несоответствии сельскохозяйственных угодий критериям, указанным в пункте 6 Порядка.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Указанные материалы представляются непосредственно в Уполномоченный орган.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Уполномоченный орган запрашивает в порядке межведомственного взаимодействия следующие документы: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выписку из Единого государственного реестра индивидуальных предпринимателей (для индивидуальных предпринимателей);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выписку из Единого государственного реестра юридических лиц (для юридических лиц);</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 выписку из Единого государственного реестра недвижимости об объекте недвижимости.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Заявитель вправе представить указанные документы самостоятельно.</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Уполномоченный орган рассматривает материалы в течение 30 рабочих дней со дня поступления и принимает решение об удовлетворении ходатайства или об отказе в удовлетворении ходатайства.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Calibri" w:cs="Gotham Pro"/>
          <w:sz w:val="24"/>
          <w:szCs w:val="24"/>
        </w:rPr>
      </w:pPr>
      <w:r>
        <w:rPr>
          <w:rFonts w:hint="default" w:ascii="Gotham Pro" w:hAnsi="Gotham Pro" w:eastAsia="Calibri" w:cs="Gotham Pro"/>
          <w:sz w:val="24"/>
          <w:szCs w:val="24"/>
        </w:rPr>
        <w:t>В случаях удовлетворения ходатайства Уполномоченный орган в течение трех рабочих дней готовит проект постановления Правительства Республики Бурятия о включении в Перечень или исключении сельскохозяйственных угодий из Перечня, которым устанавливается или изменяется зона с особыми условиями использования территорий.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b/>
          <w:sz w:val="24"/>
          <w:szCs w:val="24"/>
          <w:lang w:eastAsia="en-US"/>
        </w:rPr>
      </w:pPr>
      <w:bookmarkStart w:id="30" w:name="_Hlk128482622"/>
      <w:r>
        <w:rPr>
          <w:rFonts w:hint="default" w:ascii="Gotham Pro" w:hAnsi="Gotham Pro" w:eastAsia="Calibri" w:cs="Gotham Pro"/>
          <w:b/>
          <w:sz w:val="24"/>
          <w:szCs w:val="24"/>
          <w:lang w:eastAsia="en-US"/>
        </w:rPr>
        <w:t>П</w:t>
      </w:r>
      <w:r>
        <w:rPr>
          <w:rFonts w:hint="default" w:ascii="Gotham Pro" w:hAnsi="Gotham Pro" w:eastAsia="Times New Roman" w:cs="Gotham Pro"/>
          <w:b/>
          <w:sz w:val="24"/>
          <w:szCs w:val="24"/>
          <w:lang w:eastAsia="en-US"/>
        </w:rPr>
        <w:t>ридорожные полосы автомобильных дорог</w:t>
      </w:r>
    </w:p>
    <w:bookmarkEnd w:id="30"/>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bookmarkStart w:id="31" w:name="_Hlk112670469"/>
      <w:r>
        <w:rPr>
          <w:rFonts w:hint="default" w:ascii="Gotham Pro" w:hAnsi="Gotham Pro" w:eastAsia="Times New Roman" w:cs="Gotham Pro"/>
          <w:sz w:val="24"/>
          <w:szCs w:val="24"/>
          <w:lang w:eastAsia="en-US"/>
        </w:rPr>
        <w:t xml:space="preserve">Статьёй 26 Федерального закона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установлено, что для автомобильных дорог, за исключением автомобильных дорог, расположенных в границах населенных пунктов, устанавливаются придорожные полосы. В зависимости от класса 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(или) категории автомобильных дорог с учетом перспектив их развития ширина каждой придорожной полосы устанавливается в размере: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val="ru-RU" w:eastAsia="en-US"/>
        </w:rPr>
        <w:t>1</w:t>
      </w:r>
      <w:r>
        <w:rPr>
          <w:rFonts w:hint="default" w:ascii="Gotham Pro" w:hAnsi="Gotham Pro" w:eastAsia="Times New Roman" w:cs="Gotham Pro"/>
          <w:sz w:val="24"/>
          <w:szCs w:val="24"/>
          <w:lang w:eastAsia="en-US"/>
        </w:rPr>
        <w:t>) пятидесяти метров - для автомобильных дорог третьей и четвертой категорий;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val="ru-RU" w:eastAsia="en-US"/>
        </w:rPr>
        <w:t>2</w:t>
      </w:r>
      <w:r>
        <w:rPr>
          <w:rFonts w:hint="default" w:ascii="Gotham Pro" w:hAnsi="Gotham Pro" w:eastAsia="Times New Roman" w:cs="Gotham Pro"/>
          <w:sz w:val="24"/>
          <w:szCs w:val="24"/>
          <w:lang w:eastAsia="en-US"/>
        </w:rPr>
        <w:t>) двадцати пяти метров - для автомобильных дорог пятой категории.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Решение об установлении придорожных полос частных автомобильных дорог или об изменении таких придорожных полос принимается: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органом местного самоуправления муниципального района в отношении частных автомобильных дорог, которые расположены на территориях двух и более поселений и (или) на межселенных территориях в границах муниципального района или строительство которых планируется осуществлять в границах муниципального района на территориях двух и более поселений и (или) на межселенных территориях в границах муниципального района, а также в отношении частных автомобильных дорог, которые расположены на территориях сельских поселений;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органом местного самоуправления сельского поселения в отношении частных автомобильных дорог, которые расположены на территории сельского поселения (в случае закрепления законом субъекта Российской Федерации за сельскими поселениями вопроса осуществления дорожной деятельности в отношении автомобильных дорог местного значения в границах населенных пунктов сельских поселений).</w:t>
      </w:r>
      <w:bookmarkEnd w:id="31"/>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Приказом Министерства по развитию транспорта, энергетики и дорожного хозяйства Республики Бурятия от 13.05.2010 № 46 утверждены границы придорожной полосы автомобильной дороги общего пользования регионального значения Республики Бурятия Улан-Удэ-Романовка-Чита III, IV категории – 50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b/>
          <w:bCs/>
          <w:sz w:val="24"/>
          <w:szCs w:val="24"/>
        </w:rPr>
      </w:pPr>
      <w:bookmarkStart w:id="32" w:name="_Hlk128482635"/>
      <w:r>
        <w:rPr>
          <w:rFonts w:hint="default" w:ascii="Gotham Pro" w:hAnsi="Gotham Pro" w:eastAsia="Times New Roman" w:cs="Gotham Pro"/>
          <w:b/>
          <w:bCs/>
          <w:sz w:val="24"/>
          <w:szCs w:val="24"/>
        </w:rPr>
        <w:t>Приаэродромная территория</w:t>
      </w:r>
    </w:p>
    <w:bookmarkEnd w:id="32"/>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В силу статьи 47 Воздушного кодекса РФ (далее - Воздушный кодекс) в целях обеспечения безопасности полетов воздушных судов, перспективного развития аэропорта и исключения негативного воздействия оборудования аэродрома и полетов воздушных судов на здоровье человека и окружающую среду в соответствии с Воздушным кодексом, земельным законодательством, законодательством о градостроительной деятельности с учетом требований законодательства в области обеспечения санитарно-эпидемиологического благополучия населения устанавливается приаэродромная территория.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 xml:space="preserve">В акте об установлении приаэродромной территории указываются ограничения использования земельных участков и (или) расположенных на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них объектов недвижимости и осуществления экономической и иной деятельности в соответствии с Воздушным кодексом.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В соответствии со статьей 47 Воздушного кодекса и Положением о приаэродромной территории, утвержденным постановлением Правительства Российской Федерации от 02.12.2017 № 1460, на приаэродромной территории выделяются следующие подзоны, в которых устанавливаются ограничения использования объектов недвижимости и осуществления деятельности: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1) первая подзона, в которой запрещается размещать объекты, не предназначенные для организации и обслуживания воздушного движения и воздушных перевозок, обеспечения взлета, посадки, руления и стоянки воздушных судов;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2) вторая подзона, в которой запрещается размещать объекты, не предназначенные для обслуживания пассажиров и обработки багажа, грузов и почты, обслуживания воздушных судов, хранения авиационного топлива и заправки воздушных судов, обеспечения энергоснабжения, а также объекты, не относящиеся к инфраструктуре аэропорта;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3) третья подзона, в которой запрещается размещать объекты, высота которых превышает ограничения, установленные уполномоченным Правительством Российской Федерации федеральным органом исполнительной власти при установлении соответствующей приаэродромной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4) четвертая подзона, в которой запрещается размещать объекты, создающие помехи в работе наземных объектов средств и систем обслуживания воздушного движения, навигации, посадки и связи, предназначенных для организации воздушного движения и расположенных вне первой подзоны;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5) пятая подзона, в которой запрещается размещать опасные производственные объекты, функционирование которых может повлиять на безопасность полетов воздушных судов;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6) шестая подзона, в которой запрещается размещать объекты, способствующие привлечению и массовому скоплению птиц;</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rPr>
      </w:pPr>
      <w:r>
        <w:rPr>
          <w:rFonts w:hint="default" w:ascii="Gotham Pro" w:hAnsi="Gotham Pro" w:eastAsia="Times New Roman" w:cs="Gotham Pro"/>
          <w:sz w:val="24"/>
          <w:szCs w:val="24"/>
        </w:rPr>
        <w:t>7) седьмая подзона, в которой в целях предотвращения негативного физического воздействия устанавливается перечень ограничений использования земельных участков, определенный в соответствии с земельным законодательством с учетом положений настоящей статьи. При этом под указанным негативным физическим воздействием понимается несоответствие эквивалентного уровня звука, возникающего в связи с полетами воздушных судов, санитарно-эпидемиологическим требованиям.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b/>
          <w:bCs/>
          <w:sz w:val="24"/>
          <w:szCs w:val="24"/>
          <w:lang w:eastAsia="en-US"/>
        </w:rPr>
      </w:pPr>
    </w:p>
    <w:p>
      <w:pPr>
        <w:keepNext w:val="0"/>
        <w:keepLines w:val="0"/>
        <w:pageBreakBefore w:val="0"/>
        <w:widowControl/>
        <w:numPr>
          <w:ilvl w:val="0"/>
          <w:numId w:val="13"/>
        </w:numPr>
        <w:kinsoku/>
        <w:wordWrap/>
        <w:overflowPunct/>
        <w:topLinePunct w:val="0"/>
        <w:autoSpaceDE/>
        <w:autoSpaceDN/>
        <w:bidi w:val="0"/>
        <w:adjustRightInd/>
        <w:snapToGrid/>
        <w:spacing w:after="0" w:line="300" w:lineRule="auto"/>
        <w:ind w:left="0" w:leftChars="0" w:firstLine="439" w:firstLineChars="183"/>
        <w:jc w:val="center"/>
        <w:textAlignment w:val="auto"/>
        <w:rPr>
          <w:rFonts w:hint="default" w:ascii="Gotham Pro" w:hAnsi="Gotham Pro" w:eastAsia="Times New Roman" w:cs="Gotham Pro"/>
          <w:b/>
          <w:bCs/>
          <w:sz w:val="24"/>
          <w:szCs w:val="24"/>
          <w:lang w:eastAsia="en-US"/>
        </w:rPr>
      </w:pPr>
      <w:r>
        <w:rPr>
          <w:rFonts w:hint="default" w:ascii="Gotham Pro" w:hAnsi="Gotham Pro" w:eastAsia="Times New Roman" w:cs="Gotham Pro"/>
          <w:b/>
          <w:bCs/>
          <w:sz w:val="24"/>
          <w:szCs w:val="24"/>
          <w:lang w:eastAsia="en-US"/>
        </w:rPr>
        <w:t>Мероприятия по охране окружающей среды</w:t>
      </w:r>
    </w:p>
    <w:p>
      <w:pPr>
        <w:keepNext w:val="0"/>
        <w:keepLines w:val="0"/>
        <w:pageBreakBefore w:val="0"/>
        <w:widowControl/>
        <w:numPr>
          <w:ilvl w:val="0"/>
          <w:numId w:val="0"/>
        </w:numPr>
        <w:kinsoku/>
        <w:wordWrap/>
        <w:overflowPunct/>
        <w:topLinePunct w:val="0"/>
        <w:autoSpaceDE/>
        <w:autoSpaceDN/>
        <w:bidi w:val="0"/>
        <w:adjustRightInd/>
        <w:snapToGrid/>
        <w:spacing w:after="0" w:line="300" w:lineRule="auto"/>
        <w:ind w:leftChars="183"/>
        <w:jc w:val="both"/>
        <w:textAlignment w:val="auto"/>
        <w:rPr>
          <w:rFonts w:hint="default" w:ascii="Gotham Pro" w:hAnsi="Gotham Pro" w:eastAsia="Times New Roman" w:cs="Gotham Pro"/>
          <w:b/>
          <w:bCs/>
          <w:sz w:val="24"/>
          <w:szCs w:val="24"/>
          <w:lang w:eastAsia="en-US"/>
        </w:rPr>
      </w:pPr>
    </w:p>
    <w:bookmarkEnd w:id="15"/>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Согласно статье 4 Федерального закона от 10.01.2002 № 7-ФЗ «Об охране окружающей среды» (далее – Закон об охране окружающей среды) 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xml:space="preserve">В силу статьи 7 Закона об охране окружающей среды, пункта 8 части 1 статьи 15 Закона о местном самоуправлении к вопросам местного значения муниципального района относится организация мероприятий межпоселенческого характера по охране окружающей среды.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Style w:val="13"/>
          <w:rFonts w:hint="default" w:ascii="Gotham Pro" w:hAnsi="Gotham Pro" w:cs="Gotham Pro"/>
          <w:sz w:val="24"/>
          <w:szCs w:val="24"/>
        </w:rPr>
      </w:pPr>
      <w:r>
        <w:rPr>
          <w:rFonts w:hint="default" w:ascii="Gotham Pro" w:hAnsi="Gotham Pro" w:cs="Gotham Pro"/>
          <w:sz w:val="24"/>
          <w:szCs w:val="24"/>
          <w:lang w:eastAsia="en-US"/>
        </w:rPr>
        <w:t xml:space="preserve">В целях обеспечения реализации мер по охране окружающей  среды и сохранению здоровья населения на территории Еравнинского района для создания комфортной среды проживания в районе </w:t>
      </w:r>
      <w:r>
        <w:rPr>
          <w:rStyle w:val="13"/>
          <w:rFonts w:hint="default" w:ascii="Gotham Pro" w:hAnsi="Gotham Pro" w:cs="Gotham Pro"/>
          <w:sz w:val="24"/>
          <w:szCs w:val="24"/>
        </w:rPr>
        <w:t>принята МП «Охрана окружающей среды» в Еравнинском районе, утвержденная постановлением Администрации МО «Еравнинский район» от 14.09.2020 № 494.</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Основной целью данной МП является обеспечение реализации мер по охране окружающей среды и сохранению здоровья населения на территории Еравнинского района для создания безопасной и комфортной среды проживания. Основными задачами МП являются:</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мониторинг состояния окружающей среды;</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охрана водных объектов;</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снижение негативного влияния отходов на состояние окружающей среды;</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xml:space="preserve"> - экологическое образование, воспитание и информирование населения.</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В целях охраны атмосферного воздуха предлагается:</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установление санитарно-защитной зоны объектов, осуществляющих выбросы в атмосферу (котельные, производственные предприятия и пр.);</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озеленение в соответствии с правилами благоустройства МО СП «Сосново-Озерское».</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В целях охраны подземных и поверхностных вод генеральный план предусматривает:</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установление зоны санитарной охраны источников питьевого и хозяйственно-бытового назначения;</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xml:space="preserve">- соблюдение режима ограничения хозяйственной деятельности в водоохраной зоне. </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В целях снижение негативного влияния отходов на состояние окружающей среды предлагается:</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обустройство контейнерных площадок для ТКО;</w:t>
      </w:r>
    </w:p>
    <w:p>
      <w:pPr>
        <w:keepNext w:val="0"/>
        <w:keepLines w:val="0"/>
        <w:pageBreakBefore w:val="0"/>
        <w:widowControl/>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en-US"/>
        </w:rPr>
      </w:pPr>
      <w:r>
        <w:rPr>
          <w:rFonts w:hint="default" w:ascii="Gotham Pro" w:hAnsi="Gotham Pro" w:cs="Gotham Pro"/>
          <w:sz w:val="24"/>
          <w:szCs w:val="24"/>
          <w:lang w:eastAsia="en-US"/>
        </w:rPr>
        <w:t>- ликвидация несанкционированных свалок.</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sz w:val="24"/>
          <w:szCs w:val="24"/>
        </w:rPr>
      </w:pPr>
      <w:r>
        <w:rPr>
          <w:rFonts w:hint="default" w:ascii="Gotham Pro" w:hAnsi="Gotham Pro" w:cs="Gotham Pro"/>
          <w:b/>
          <w:sz w:val="24"/>
          <w:szCs w:val="24"/>
        </w:rPr>
        <w:t>8. Перечень и характеристики основных факторов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sz w:val="24"/>
          <w:szCs w:val="24"/>
        </w:rPr>
      </w:pPr>
      <w:r>
        <w:rPr>
          <w:rFonts w:hint="default" w:ascii="Gotham Pro" w:hAnsi="Gotham Pro" w:cs="Gotham Pro"/>
          <w:b/>
          <w:sz w:val="24"/>
          <w:szCs w:val="24"/>
        </w:rPr>
        <w:t xml:space="preserve"> риска возникновения ЧС природного и техногенного характера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center"/>
        <w:textAlignment w:val="auto"/>
        <w:rPr>
          <w:rFonts w:hint="default" w:ascii="Gotham Pro" w:hAnsi="Gotham Pro" w:cs="Gotham Pro"/>
          <w:b/>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Данная статья генерального плана выполнена в соответствии со следующими нормативными и правовыми актами: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 Методическими рекомендациями по разработке проектов генеральных планов поселений и городских округов, </w:t>
      </w:r>
      <w:r>
        <w:rPr>
          <w:rFonts w:hint="default" w:ascii="Gotham Pro" w:hAnsi="Gotham Pro" w:cs="Gotham Pro"/>
          <w:sz w:val="24"/>
          <w:szCs w:val="24"/>
          <w:lang w:val="ru-RU"/>
        </w:rPr>
        <w:t>утверждёнными</w:t>
      </w:r>
      <w:r>
        <w:rPr>
          <w:rFonts w:hint="default" w:ascii="Gotham Pro" w:hAnsi="Gotham Pro" w:cs="Gotham Pro"/>
          <w:sz w:val="24"/>
          <w:szCs w:val="24"/>
        </w:rPr>
        <w:t xml:space="preserve"> приказом Министерства регионального развития РФ от 26.05.2011 № 244;</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Сводом правил по проектированию и строительству</w:t>
      </w:r>
      <w:r>
        <w:rPr>
          <w:rFonts w:hint="default" w:ascii="Gotham Pro" w:hAnsi="Gotham Pro" w:cs="Gotham Pro"/>
          <w:sz w:val="24"/>
          <w:szCs w:val="24"/>
        </w:rPr>
        <w:br w:type="textWrapping"/>
      </w:r>
      <w:r>
        <w:rPr>
          <w:rFonts w:hint="default" w:ascii="Gotham Pro" w:hAnsi="Gotham Pro" w:cs="Gotham Pro"/>
          <w:sz w:val="24"/>
          <w:szCs w:val="24"/>
        </w:rPr>
        <w:t>СП 11-112-2001 «Порядок разработки и состав раздела «Инженерно-технические мероприятия гражданской обороны. Мероприятия по предупреждению чрезвычайных ситуаций" градостроительной документации для территорий городских и сельских поселений, других муниципальных образований», утвержденным приказом МЧС РФ от 29.10.2001 № 471 ДСП);</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СП 165.1325800.2014. Свод правил. Инженерно-технические мероприятия по гражданской обороне. Актуализированная редакция СНиП 2.01.51-90, утвержденными приказом Минстроя России от 12.11.2014           № 705/пр;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письмом Республиканского агентства по гражданской обороне и чрезвычайным ситуациям от 07.07.2023 № 75-01-33-И1507/23.</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 xml:space="preserve">8.1. Краткое описание места расположения поселения, топографо-геодезических, инженерно-геологических и климатических условий, транспортной и инженерной инфраструктуры, данные о площади поселения, характере застройки, численности населения, административном статусе, экономической или сельскохозяйственной специализации и группе по ГО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МО СП «Сосново-Озерское» расположено в центральной части Еравнинского района (рис. 1) и граничит: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на севере -с межселенными территориями МО «Еравнинский район» и МО СП «Тулдунское»;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на юге - с межселенными территориями МО «Еравнинский район»;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на востоке – с МО СП «Ширингинское»;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на западе с МО СП «Улхасааское».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Административный центр поселения </w:t>
      </w:r>
      <w:r>
        <w:rPr>
          <w:rFonts w:hint="default" w:ascii="Gotham Pro" w:hAnsi="Gotham Pro" w:cs="Gotham Pro"/>
          <w:sz w:val="24"/>
          <w:szCs w:val="24"/>
          <w:lang w:val="ru-RU"/>
        </w:rPr>
        <w:t>с. Сосново-Озерское также является административным центром Еравнинского района.</w:t>
      </w:r>
      <w:r>
        <w:rPr>
          <w:rFonts w:hint="default" w:ascii="Gotham Pro" w:hAnsi="Gotham Pro" w:cs="Gotham Pro"/>
          <w:sz w:val="24"/>
          <w:szCs w:val="24"/>
        </w:rPr>
        <w:t xml:space="preserve"> </w:t>
      </w:r>
      <w:r>
        <w:rPr>
          <w:rFonts w:hint="default" w:ascii="Gotham Pro" w:hAnsi="Gotham Pro" w:cs="Gotham Pro"/>
          <w:sz w:val="24"/>
          <w:szCs w:val="24"/>
          <w:lang w:val="ru-RU"/>
        </w:rPr>
        <w:t xml:space="preserve">Село Сосново-Озерское </w:t>
      </w:r>
      <w:r>
        <w:rPr>
          <w:rFonts w:hint="default" w:ascii="Gotham Pro" w:hAnsi="Gotham Pro" w:cs="Gotham Pro"/>
          <w:sz w:val="24"/>
          <w:szCs w:val="24"/>
        </w:rPr>
        <w:t>расположен</w:t>
      </w:r>
      <w:r>
        <w:rPr>
          <w:rFonts w:hint="default" w:ascii="Gotham Pro" w:hAnsi="Gotham Pro" w:cs="Gotham Pro"/>
          <w:sz w:val="24"/>
          <w:szCs w:val="24"/>
          <w:lang w:val="ru-RU"/>
        </w:rPr>
        <w:t>о</w:t>
      </w:r>
      <w:r>
        <w:rPr>
          <w:rFonts w:hint="default" w:ascii="Gotham Pro" w:hAnsi="Gotham Pro" w:cs="Gotham Pro"/>
          <w:sz w:val="24"/>
          <w:szCs w:val="24"/>
        </w:rPr>
        <w:t xml:space="preserve"> в 232 км от столицы Республики Бурятия г. Улан-Удэ.</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Описание топографо-геодезических, инженерно-геологических и климатических условий, транспортной и инженерной инфраструктуры, данные о площади поселения, характере застройки, численности населения, административном статусе, экономической или сельскохозяйственной специализации</w:t>
      </w:r>
      <w:r>
        <w:rPr>
          <w:rFonts w:hint="default" w:ascii="Gotham Pro" w:hAnsi="Gotham Pro" w:cs="Gotham Pro"/>
          <w:b/>
          <w:sz w:val="24"/>
          <w:szCs w:val="24"/>
        </w:rPr>
        <w:t xml:space="preserve"> </w:t>
      </w:r>
      <w:r>
        <w:rPr>
          <w:rFonts w:hint="default" w:ascii="Gotham Pro" w:hAnsi="Gotham Pro" w:cs="Gotham Pro"/>
          <w:sz w:val="24"/>
          <w:szCs w:val="24"/>
        </w:rPr>
        <w:t>подробно описаны в вышеописанных статьях генерального плана.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8.2. Анализ возможных последствий воздействия современных средств поражения и ЧС техногенного и природного характера на функционирование объектов поселения и жизнедеятельность населения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sz w:val="24"/>
          <w:szCs w:val="24"/>
        </w:rPr>
      </w:pPr>
      <w:r>
        <w:rPr>
          <w:rFonts w:hint="default" w:ascii="Gotham Pro" w:hAnsi="Gotham Pro" w:cs="Gotham Pro"/>
          <w:b/>
          <w:sz w:val="24"/>
          <w:szCs w:val="24"/>
        </w:rPr>
        <w:t xml:space="preserve">8.2.1. </w:t>
      </w:r>
      <w:r>
        <w:rPr>
          <w:rFonts w:hint="default" w:ascii="Gotham Pro" w:hAnsi="Gotham Pro" w:cs="Gotham Pro"/>
          <w:b/>
          <w:bCs/>
          <w:sz w:val="24"/>
          <w:szCs w:val="24"/>
        </w:rPr>
        <w:t xml:space="preserve">Перечень и характеристики возможных </w:t>
      </w:r>
      <w:r>
        <w:rPr>
          <w:rFonts w:hint="default" w:ascii="Gotham Pro" w:hAnsi="Gotham Pro" w:cs="Gotham Pro"/>
          <w:b/>
          <w:sz w:val="24"/>
          <w:szCs w:val="24"/>
        </w:rPr>
        <w:t>последствий воздействия современных средств поражения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соответствии с СП 165.1325800.2014 «Инженерно-технические мероприятия по гражданской обороне» территория МО СП «</w:t>
      </w:r>
      <w:r>
        <w:rPr>
          <w:rFonts w:hint="default" w:ascii="Gotham Pro" w:hAnsi="Gotham Pro" w:cs="Gotham Pro"/>
          <w:sz w:val="24"/>
          <w:szCs w:val="24"/>
          <w:lang w:val="ru-RU"/>
        </w:rPr>
        <w:t>Сосново-Озерское</w:t>
      </w:r>
      <w:r>
        <w:rPr>
          <w:rFonts w:hint="default" w:ascii="Gotham Pro" w:hAnsi="Gotham Pro" w:cs="Gotham Pro"/>
          <w:sz w:val="24"/>
          <w:szCs w:val="24"/>
        </w:rPr>
        <w:t>» не отнесен</w:t>
      </w:r>
      <w:r>
        <w:rPr>
          <w:rFonts w:hint="default" w:ascii="Gotham Pro" w:hAnsi="Gotham Pro" w:cs="Gotham Pro"/>
          <w:sz w:val="24"/>
          <w:szCs w:val="24"/>
          <w:lang w:val="ru-RU"/>
        </w:rPr>
        <w:t>а</w:t>
      </w:r>
      <w:r>
        <w:rPr>
          <w:rFonts w:hint="default" w:ascii="Gotham Pro" w:hAnsi="Gotham Pro" w:cs="Gotham Pro"/>
          <w:sz w:val="24"/>
          <w:szCs w:val="24"/>
        </w:rPr>
        <w:t xml:space="preserve"> к группе по гражданской обороне поскольку </w:t>
      </w:r>
      <w:r>
        <w:rPr>
          <w:rFonts w:hint="default" w:ascii="Gotham Pro" w:hAnsi="Gotham Pro" w:cs="Gotham Pro"/>
          <w:sz w:val="24"/>
          <w:szCs w:val="24"/>
          <w:lang w:val="ru-RU"/>
        </w:rPr>
        <w:t>населенные пункты поселения</w:t>
      </w:r>
      <w:r>
        <w:rPr>
          <w:rFonts w:hint="default" w:ascii="Gotham Pro" w:hAnsi="Gotham Pro" w:cs="Gotham Pro"/>
          <w:sz w:val="24"/>
          <w:szCs w:val="24"/>
        </w:rPr>
        <w:t xml:space="preserve">  не имеют </w:t>
      </w:r>
      <w:r>
        <w:rPr>
          <w:rFonts w:hint="default" w:ascii="Gotham Pro" w:hAnsi="Gotham Pro" w:cs="Gotham Pro"/>
          <w:sz w:val="24"/>
          <w:szCs w:val="24"/>
          <w:shd w:val="clear" w:color="auto" w:fill="FFFFFF"/>
        </w:rPr>
        <w:t xml:space="preserve">важное оборонное и экономическое значение, с находящимися в нем объектами, представляющий высокую степень опасности возникновения </w:t>
      </w:r>
      <w:r>
        <w:rPr>
          <w:rFonts w:hint="default" w:ascii="Gotham Pro" w:hAnsi="Gotham Pro" w:cs="Gotham Pro"/>
          <w:sz w:val="24"/>
          <w:szCs w:val="24"/>
          <w:shd w:val="clear" w:color="auto" w:fill="FFFFFF"/>
          <w:lang w:val="ru-RU"/>
        </w:rPr>
        <w:t xml:space="preserve">ЧС </w:t>
      </w:r>
      <w:r>
        <w:rPr>
          <w:rFonts w:hint="default" w:ascii="Gotham Pro" w:hAnsi="Gotham Pro" w:cs="Gotham Pro"/>
          <w:sz w:val="24"/>
          <w:szCs w:val="24"/>
          <w:shd w:val="clear" w:color="auto" w:fill="FFFFFF"/>
        </w:rPr>
        <w:t>в военное и мирное время.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этой связи вероятность применения современных средств поражения не рассматривается в настоящем генеральном плане.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Основными поражающими факторами при косвенном воздействии являются: взрывы, пожары, загазованность и заражение территории аварийными химически опасными веществами (АХОВ).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Style w:val="10"/>
          <w:rFonts w:hint="default" w:ascii="Gotham Pro" w:hAnsi="Gotham Pro" w:cs="Gotham Pro" w:eastAsiaTheme="majorEastAsia"/>
          <w:sz w:val="24"/>
          <w:szCs w:val="24"/>
        </w:rPr>
      </w:pPr>
      <w:r>
        <w:rPr>
          <w:rStyle w:val="10"/>
          <w:rFonts w:hint="default" w:ascii="Gotham Pro" w:hAnsi="Gotham Pro" w:cs="Gotham Pro" w:eastAsiaTheme="majorEastAsia"/>
          <w:sz w:val="24"/>
          <w:szCs w:val="24"/>
        </w:rPr>
        <w:t xml:space="preserve">Предприятия и учреждения </w:t>
      </w:r>
      <w:r>
        <w:rPr>
          <w:rFonts w:hint="default" w:ascii="Gotham Pro" w:hAnsi="Gotham Pro" w:cs="Gotham Pro"/>
          <w:sz w:val="24"/>
          <w:szCs w:val="24"/>
        </w:rPr>
        <w:t xml:space="preserve">во время военных конфликтов </w:t>
      </w:r>
      <w:r>
        <w:rPr>
          <w:rStyle w:val="10"/>
          <w:rFonts w:hint="default" w:ascii="Gotham Pro" w:hAnsi="Gotham Pro" w:cs="Gotham Pro" w:eastAsiaTheme="majorEastAsia"/>
          <w:sz w:val="24"/>
          <w:szCs w:val="24"/>
        </w:rPr>
        <w:t>будут работать в обычном режиме.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Style w:val="10"/>
          <w:rFonts w:hint="default" w:ascii="Gotham Pro" w:hAnsi="Gotham Pro" w:cs="Gotham Pro" w:eastAsiaTheme="majorEastAsia"/>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rPr>
      </w:pPr>
      <w:r>
        <w:rPr>
          <w:rFonts w:hint="default" w:ascii="Gotham Pro" w:hAnsi="Gotham Pro" w:cs="Gotham Pro"/>
          <w:b/>
          <w:bCs/>
          <w:sz w:val="24"/>
          <w:szCs w:val="24"/>
        </w:rPr>
        <w:t>8.2.2. Перечень и характеристики возможных источников ЧС техногенного характера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Согласно Федеральному закону от 21.12.1994 № 68-ФЗ «О защите населения и территорий от чрезвычайных ситуаций природного и техногенного характера» (далее – Закон № 68-ФЗ) чрезвычайная ситуация - это обстановка на определенной территории, сложившаяся в результате аварии, опасного природного явления, катастрофы, распространения заболевания, представляющего опасность для окружающих, стихийного или иного бедствия, которые могут повлечь или повлекли за собой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человеческие жертвы, ущерб здоровью людей или окружающей среде, значительные материальные потери и нарушение условий жизнедеятельности людей.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Последствия ЧС могут быть весьма значительными и, как показывает анализ, в ряде случаев парализуют нормальное функционирование объектов экономики и существенно нарушают жизнедеятельность населения на обширных территориях.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соответствии с постановлением Правительства РФ от 21.05.2007 № 304 «О классификации чрезвычайных ситуаций природного и техногенного характера» ЧС по масштабности подразделяются на 6 групп, указанных в таблице 8.</w:t>
      </w:r>
      <w:r>
        <w:rPr>
          <w:rFonts w:hint="default" w:ascii="Gotham Pro" w:hAnsi="Gotham Pro" w:cs="Gotham Pro"/>
          <w:sz w:val="24"/>
          <w:szCs w:val="24"/>
          <w:lang w:val="ru-RU"/>
        </w:rPr>
        <w:t>2.2.</w:t>
      </w:r>
      <w:r>
        <w:rPr>
          <w:rFonts w:hint="default" w:ascii="Gotham Pro" w:hAnsi="Gotham Pro" w:cs="Gotham Pro"/>
          <w:sz w:val="24"/>
          <w:szCs w:val="24"/>
        </w:rPr>
        <w:t>-1.</w:t>
      </w:r>
    </w:p>
    <w:p>
      <w:pPr>
        <w:pStyle w:val="11"/>
        <w:spacing w:line="276" w:lineRule="auto"/>
        <w:ind w:firstLine="567"/>
        <w:jc w:val="both"/>
        <w:rPr>
          <w:rFonts w:hint="default" w:ascii="Gotham Pro" w:hAnsi="Gotham Pro" w:cs="Gotham Pro"/>
          <w:sz w:val="22"/>
          <w:szCs w:val="22"/>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Классификация ЧС по масштабности</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таблица 8.</w:t>
      </w:r>
      <w:r>
        <w:rPr>
          <w:rFonts w:hint="default" w:ascii="Gotham Pro" w:hAnsi="Gotham Pro" w:cs="Gotham Pro"/>
          <w:sz w:val="20"/>
          <w:szCs w:val="20"/>
          <w:lang w:val="ru-RU"/>
        </w:rPr>
        <w:t>2.2.</w:t>
      </w:r>
      <w:r>
        <w:rPr>
          <w:rFonts w:hint="default" w:ascii="Gotham Pro" w:hAnsi="Gotham Pro" w:cs="Gotham Pro"/>
          <w:sz w:val="20"/>
          <w:szCs w:val="20"/>
        </w:rPr>
        <w:t>-1</w:t>
      </w:r>
    </w:p>
    <w:tbl>
      <w:tblPr>
        <w:tblStyle w:val="3"/>
        <w:tblpPr w:leftFromText="180" w:rightFromText="180" w:vertAnchor="text" w:horzAnchor="page" w:tblpX="1791" w:tblpY="201"/>
        <w:tblOverlap w:val="never"/>
        <w:tblW w:w="491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994"/>
        <w:gridCol w:w="1752"/>
        <w:gridCol w:w="2076"/>
        <w:gridCol w:w="37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99" w:hRule="atLeast"/>
          <w:tblHeader/>
        </w:trPr>
        <w:tc>
          <w:tcPr>
            <w:tcW w:w="1039" w:type="pct"/>
            <w:vMerge w:val="restar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Класс ЧС</w:t>
            </w:r>
          </w:p>
        </w:tc>
        <w:tc>
          <w:tcPr>
            <w:tcW w:w="3960" w:type="pct"/>
            <w:gridSpan w:val="3"/>
            <w:shd w:val="clear" w:color="auto" w:fill="auto"/>
            <w:vAlign w:val="top"/>
          </w:tcPr>
          <w:p>
            <w:pPr>
              <w:pStyle w:val="11"/>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Критерии классификации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39" w:type="pct"/>
            <w:vMerge w:val="continue"/>
            <w:shd w:val="clear" w:color="auto" w:fill="auto"/>
            <w:vAlign w:val="top"/>
          </w:tcPr>
          <w:p>
            <w:pPr>
              <w:pStyle w:val="11"/>
              <w:jc w:val="center"/>
              <w:rPr>
                <w:rFonts w:hint="default" w:ascii="Gotham Pro" w:hAnsi="Gotham Pro" w:cs="Gotham Pro" w:eastAsiaTheme="minorEastAsia"/>
                <w:sz w:val="20"/>
                <w:szCs w:val="20"/>
                <w:lang w:val="ru-RU" w:eastAsia="ru-RU" w:bidi="ar-SA"/>
              </w:rPr>
            </w:pPr>
          </w:p>
        </w:tc>
        <w:tc>
          <w:tcPr>
            <w:tcW w:w="91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Количество пострадавших, чел.</w:t>
            </w:r>
          </w:p>
        </w:tc>
        <w:tc>
          <w:tcPr>
            <w:tcW w:w="108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Размер материального ущерба, руб.</w:t>
            </w:r>
          </w:p>
        </w:tc>
        <w:tc>
          <w:tcPr>
            <w:tcW w:w="196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Границы зоны ЧС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blHeader/>
        </w:trPr>
        <w:tc>
          <w:tcPr>
            <w:tcW w:w="1039"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1</w:t>
            </w:r>
          </w:p>
        </w:tc>
        <w:tc>
          <w:tcPr>
            <w:tcW w:w="913" w:type="pct"/>
            <w:shd w:val="clear" w:color="auto" w:fill="auto"/>
          </w:tcPr>
          <w:p>
            <w:pPr>
              <w:pStyle w:val="14"/>
              <w:ind w:left="0" w:leftChars="0" w:firstLine="0" w:firstLineChars="0"/>
              <w:jc w:val="center"/>
              <w:rPr>
                <w:rFonts w:hint="default" w:ascii="Gotham Pro" w:hAnsi="Gotham Pro" w:cs="Gotham Pro"/>
                <w:sz w:val="20"/>
                <w:szCs w:val="20"/>
              </w:rPr>
            </w:pPr>
            <w:r>
              <w:rPr>
                <w:rFonts w:hint="default" w:ascii="Gotham Pro" w:hAnsi="Gotham Pro" w:cs="Gotham Pro"/>
                <w:sz w:val="20"/>
                <w:szCs w:val="20"/>
              </w:rPr>
              <w:t>2</w:t>
            </w:r>
          </w:p>
        </w:tc>
        <w:tc>
          <w:tcPr>
            <w:tcW w:w="1082"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1963" w:type="pct"/>
            <w:shd w:val="clear" w:color="auto" w:fill="auto"/>
          </w:tcPr>
          <w:p>
            <w:pPr>
              <w:pStyle w:val="14"/>
              <w:ind w:left="0" w:leftChars="0" w:firstLine="0" w:firstLineChars="0"/>
              <w:jc w:val="center"/>
              <w:rPr>
                <w:rFonts w:hint="default" w:ascii="Gotham Pro" w:hAnsi="Gotham Pro" w:cs="Gotham Pro"/>
                <w:sz w:val="20"/>
                <w:szCs w:val="20"/>
                <w:lang w:val="ru-RU"/>
              </w:rPr>
            </w:pPr>
            <w:r>
              <w:rPr>
                <w:rFonts w:hint="default" w:ascii="Gotham Pro" w:hAnsi="Gotham Pro" w:cs="Gotham Pro"/>
                <w:sz w:val="20"/>
                <w:szCs w:val="20"/>
                <w:lang w:val="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локального характера</w:t>
            </w:r>
          </w:p>
        </w:tc>
        <w:tc>
          <w:tcPr>
            <w:tcW w:w="91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более 10 чел.</w:t>
            </w:r>
          </w:p>
        </w:tc>
        <w:tc>
          <w:tcPr>
            <w:tcW w:w="1082"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более 240 тыс.</w:t>
            </w:r>
          </w:p>
        </w:tc>
        <w:tc>
          <w:tcPr>
            <w:tcW w:w="1963" w:type="pct"/>
            <w:shd w:val="clear" w:color="auto" w:fill="auto"/>
            <w:vAlign w:val="top"/>
          </w:tcPr>
          <w:p>
            <w:pPr>
              <w:pStyle w:val="11"/>
              <w:spacing w:line="276" w:lineRule="auto"/>
              <w:jc w:val="center"/>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выходит за пределы территории организации (объекта)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муниципального характера</w:t>
            </w:r>
          </w:p>
        </w:tc>
        <w:tc>
          <w:tcPr>
            <w:tcW w:w="91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более 50 чел.</w:t>
            </w:r>
          </w:p>
        </w:tc>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более 12 млн.</w:t>
            </w:r>
          </w:p>
        </w:tc>
        <w:tc>
          <w:tcPr>
            <w:tcW w:w="196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выходит за пределы территории одного МО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межмуниципального характера</w:t>
            </w:r>
          </w:p>
        </w:tc>
        <w:tc>
          <w:tcPr>
            <w:tcW w:w="91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более 50 чел.</w:t>
            </w:r>
          </w:p>
        </w:tc>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более 12 млн.</w:t>
            </w:r>
          </w:p>
        </w:tc>
        <w:tc>
          <w:tcPr>
            <w:tcW w:w="196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затрагивает территорию двух и более муниципальных районов, муниципальных округов, городских округов, расположенных на территории одного субъекта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регионального характера</w:t>
            </w:r>
          </w:p>
        </w:tc>
        <w:tc>
          <w:tcPr>
            <w:tcW w:w="91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свыше 50 человек, но не более 500 человек </w:t>
            </w:r>
          </w:p>
        </w:tc>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свыше 12 млн. но не более 1,2 млрд.</w:t>
            </w:r>
          </w:p>
        </w:tc>
        <w:tc>
          <w:tcPr>
            <w:tcW w:w="196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не выходит за пределы территории одного субъекта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межрегионального характера</w:t>
            </w:r>
          </w:p>
        </w:tc>
        <w:tc>
          <w:tcPr>
            <w:tcW w:w="91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свыше 50 человек, но не более 500 человек </w:t>
            </w:r>
          </w:p>
        </w:tc>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свыше 12 млн. но не более 1,2 млрд.</w:t>
            </w:r>
          </w:p>
        </w:tc>
        <w:tc>
          <w:tcPr>
            <w:tcW w:w="196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затрагивает территорию двух и более субъектов Российской Федерации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 w:hRule="atLeast"/>
        </w:trPr>
        <w:tc>
          <w:tcPr>
            <w:tcW w:w="1039" w:type="pct"/>
            <w:shd w:val="clear" w:color="auto" w:fill="auto"/>
            <w:vAlign w:val="top"/>
          </w:tcPr>
          <w:p>
            <w:pPr>
              <w:pStyle w:val="11"/>
              <w:spacing w:line="276" w:lineRule="auto"/>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федерального характера</w:t>
            </w:r>
          </w:p>
        </w:tc>
        <w:tc>
          <w:tcPr>
            <w:tcW w:w="91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 xml:space="preserve">свыше 500 человек </w:t>
            </w:r>
          </w:p>
        </w:tc>
        <w:tc>
          <w:tcPr>
            <w:tcW w:w="1082"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свыше 1,2 млрд.</w:t>
            </w:r>
          </w:p>
        </w:tc>
        <w:tc>
          <w:tcPr>
            <w:tcW w:w="1963" w:type="pct"/>
            <w:shd w:val="clear" w:color="auto" w:fill="auto"/>
            <w:vAlign w:val="top"/>
          </w:tcPr>
          <w:p>
            <w:pPr>
              <w:pStyle w:val="11"/>
              <w:spacing w:line="276" w:lineRule="auto"/>
              <w:jc w:val="both"/>
              <w:rPr>
                <w:rFonts w:hint="default" w:ascii="Gotham Pro" w:hAnsi="Gotham Pro" w:cs="Gotham Pro" w:eastAsiaTheme="minorEastAsia"/>
                <w:sz w:val="20"/>
                <w:szCs w:val="20"/>
                <w:lang w:val="ru-RU" w:eastAsia="ru-RU" w:bidi="ar-SA"/>
              </w:rPr>
            </w:pPr>
            <w:r>
              <w:rPr>
                <w:rFonts w:hint="default" w:ascii="Gotham Pro" w:hAnsi="Gotham Pro" w:cs="Gotham Pro"/>
                <w:sz w:val="20"/>
                <w:szCs w:val="20"/>
              </w:rPr>
              <w:t>затрагивает территорию двух и более субъектов Российской Федерации</w:t>
            </w:r>
          </w:p>
        </w:tc>
      </w:tr>
    </w:tbl>
    <w:p>
      <w:pPr>
        <w:pStyle w:val="11"/>
        <w:spacing w:line="276" w:lineRule="auto"/>
        <w:ind w:firstLine="567"/>
        <w:jc w:val="right"/>
        <w:rPr>
          <w:rFonts w:hint="default" w:ascii="Gotham Pro" w:hAnsi="Gotham Pro" w:cs="Gotham Pro"/>
          <w:sz w:val="20"/>
          <w:szCs w:val="20"/>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Техногенная ЧС – это состояние, при котором в результате возникновения источника техногенной ЧС на объекте, определенной территории или акватории нарушаются нормальные условия жизни 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rPr>
      </w:pPr>
      <w:r>
        <w:rPr>
          <w:rFonts w:hint="default" w:ascii="Gotham Pro" w:hAnsi="Gotham Pro" w:cs="Gotham Pro"/>
          <w:sz w:val="24"/>
          <w:szCs w:val="24"/>
        </w:rPr>
        <w:t>деятельности людей, возникает угроза их жизни и здоровью, наносится ущерб имуществу населения, народному хозяйству и окружающей природной среде.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Производственная авария — разрушение или повреждение технических устройств, применяемых на опасном производственном объекте, неконтролируемые: взрывы или выбросы опасных веществ.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Техногенные чрезвычайные ситуации подразделяются на 10 основных типов, отраженных на рис. 8.2.2.-1.</w:t>
      </w:r>
    </w:p>
    <w:p>
      <w:pPr>
        <w:widowControl w:val="0"/>
        <w:autoSpaceDE w:val="0"/>
        <w:autoSpaceDN w:val="0"/>
        <w:spacing w:after="0"/>
        <w:ind w:firstLine="567"/>
        <w:jc w:val="center"/>
        <w:rPr>
          <w:rFonts w:ascii="Times New Roman" w:hAnsi="Times New Roman"/>
          <w:color w:val="000000"/>
          <w:sz w:val="24"/>
          <w:szCs w:val="24"/>
        </w:rPr>
      </w:pPr>
    </w:p>
    <w:p>
      <w:pPr>
        <w:widowControl w:val="0"/>
        <w:autoSpaceDE w:val="0"/>
        <w:autoSpaceDN w:val="0"/>
        <w:spacing w:after="0"/>
        <w:ind w:firstLine="567"/>
        <w:jc w:val="center"/>
        <w:rPr>
          <w:rFonts w:hint="default" w:ascii="Gotham Pro" w:hAnsi="Gotham Pro" w:cs="Gotham Pro"/>
          <w:color w:val="000000"/>
          <w:sz w:val="20"/>
          <w:szCs w:val="20"/>
        </w:rPr>
      </w:pPr>
      <w:r>
        <w:rPr>
          <w:rFonts w:hint="default" w:ascii="Gotham Pro" w:hAnsi="Gotham Pro" w:cs="Gotham Pro"/>
          <w:color w:val="000000"/>
          <w:sz w:val="20"/>
          <w:szCs w:val="20"/>
        </w:rPr>
        <w:t>Классификация техногенных ЧС</w:t>
      </w:r>
    </w:p>
    <w:p>
      <w:pPr>
        <w:widowControl w:val="0"/>
        <w:autoSpaceDE w:val="0"/>
        <w:autoSpaceDN w:val="0"/>
        <w:spacing w:after="0"/>
        <w:ind w:firstLine="567"/>
        <w:jc w:val="right"/>
        <w:rPr>
          <w:rFonts w:hint="default" w:ascii="Gotham Pro" w:hAnsi="Gotham Pro" w:cs="Gotham Pro"/>
          <w:color w:val="000000"/>
          <w:sz w:val="20"/>
          <w:szCs w:val="20"/>
          <w:lang w:val="ru-RU"/>
        </w:rPr>
      </w:pPr>
      <w:r>
        <w:rPr>
          <w:rFonts w:hint="default" w:ascii="Gotham Pro" w:hAnsi="Gotham Pro" w:cs="Gotham Pro"/>
          <w:color w:val="000000"/>
          <w:sz w:val="20"/>
          <w:szCs w:val="20"/>
        </w:rPr>
        <w:t>рис. 8.2.2.-</w:t>
      </w:r>
      <w:r>
        <w:rPr>
          <w:rFonts w:hint="default" w:ascii="Gotham Pro" w:hAnsi="Gotham Pro" w:cs="Gotham Pro"/>
          <w:color w:val="000000"/>
          <w:sz w:val="20"/>
          <w:szCs w:val="20"/>
          <w:lang w:val="ru-RU"/>
        </w:rPr>
        <w:t>1</w:t>
      </w:r>
    </w:p>
    <w:p>
      <w:pPr>
        <w:widowControl w:val="0"/>
        <w:autoSpaceDE w:val="0"/>
        <w:autoSpaceDN w:val="0"/>
        <w:spacing w:after="0"/>
        <w:jc w:val="center"/>
        <w:rPr>
          <w:rFonts w:ascii="Times New Roman" w:hAnsi="Times New Roman"/>
          <w:color w:val="000000"/>
          <w:sz w:val="28"/>
          <w:szCs w:val="28"/>
        </w:rPr>
      </w:pPr>
      <w:r>
        <w:rPr>
          <w:rFonts w:ascii="Times New Roman" w:hAnsi="Times New Roman"/>
        </w:rPr>
        <w:drawing>
          <wp:inline distT="0" distB="0" distL="0" distR="0">
            <wp:extent cx="5924550" cy="3009900"/>
            <wp:effectExtent l="0" t="0" r="3810" b="762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Рисунок 5"/>
                    <pic:cNvPicPr>
                      <a:picLocks noChangeAspect="1" noChangeArrowheads="1"/>
                    </pic:cNvPicPr>
                  </pic:nvPicPr>
                  <pic:blipFill>
                    <a:blip r:embed="rId13"/>
                    <a:srcRect/>
                    <a:stretch>
                      <a:fillRect/>
                    </a:stretch>
                  </pic:blipFill>
                  <pic:spPr>
                    <a:xfrm>
                      <a:off x="0" y="0"/>
                      <a:ext cx="5924550" cy="3009900"/>
                    </a:xfrm>
                    <a:prstGeom prst="rect">
                      <a:avLst/>
                    </a:prstGeom>
                    <a:noFill/>
                    <a:ln w="9525">
                      <a:noFill/>
                      <a:miter lim="800000"/>
                      <a:headEnd/>
                      <a:tailEnd/>
                    </a:ln>
                  </pic:spPr>
                </pic:pic>
              </a:graphicData>
            </a:graphic>
          </wp:inline>
        </w:drawing>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Источники причин производственных аварий подразделяются на четыре группы: человек, машина, средства взаимодействия и управления.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Основными причинами техногенных чрезвычайных ситуаций являются: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нарушение трудовой и технологической дисциплины;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ошибки при проектировании и строительстве объектов капитального строительства и сооружений;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нарушение требований безопасности;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использования материалов и сырья плохого качества;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износ оборудования, объектов капитального строительства, сооружений, транспортных средств;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увеличение количества потенциальных опасных объектов;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недостатки и неисправность оборудования.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На территории МО СП «Сосново-Озерское» имеются следующие риски возникновения ЧС техногенного характера:</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аварии на объектах жизнеобеспечения (сетях электроснабжения, теплоснабжения, водоснабжения и водоотведения);</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техногенные пожары (риск обусловлен деревянной застройкой, несоблюдение владельцами правил пожарной безопасности);</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аварии на взрыво-, пожароопасных объектах (АЗС, котельная);</w:t>
      </w:r>
    </w:p>
    <w:p>
      <w:pPr>
        <w:keepNext w:val="0"/>
        <w:keepLines w:val="0"/>
        <w:pageBreakBefore w:val="0"/>
        <w:widowControl w:val="0"/>
        <w:shd w:val="clear" w:color="auto" w:fill="FFFFFF" w:themeFill="background1"/>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 на объектах транспортной инфраструктуры (несоблюдением водителями скоростного режима на аварийно-опасных участках автодорог, нарушение ПДД водителями ТС и пешеходами, плохое покрытие автомобильных дорог, неисправность ТС, сезонные метеорологические факторы).</w:t>
      </w:r>
    </w:p>
    <w:p>
      <w:pPr>
        <w:widowControl w:val="0"/>
        <w:autoSpaceDE w:val="0"/>
        <w:autoSpaceDN w:val="0"/>
        <w:spacing w:after="0"/>
        <w:ind w:firstLine="567"/>
        <w:jc w:val="center"/>
        <w:rPr>
          <w:rFonts w:hint="default" w:ascii="Gotham Pro" w:hAnsi="Gotham Pro" w:cs="Gotham Pro"/>
          <w:sz w:val="20"/>
          <w:szCs w:val="20"/>
        </w:rPr>
      </w:pPr>
    </w:p>
    <w:p>
      <w:pPr>
        <w:widowControl w:val="0"/>
        <w:autoSpaceDE w:val="0"/>
        <w:autoSpaceDN w:val="0"/>
        <w:spacing w:after="0"/>
        <w:ind w:firstLine="567"/>
        <w:jc w:val="center"/>
        <w:rPr>
          <w:rFonts w:hint="default" w:ascii="Gotham Pro" w:hAnsi="Gotham Pro" w:cs="Gotham Pro"/>
          <w:sz w:val="20"/>
          <w:szCs w:val="20"/>
        </w:rPr>
      </w:pPr>
      <w:r>
        <w:rPr>
          <w:rFonts w:hint="default" w:ascii="Gotham Pro" w:hAnsi="Gotham Pro" w:cs="Gotham Pro"/>
          <w:sz w:val="20"/>
          <w:szCs w:val="20"/>
        </w:rPr>
        <w:t xml:space="preserve">Возможные ЧС на объектах жизнеобеспечения </w:t>
      </w:r>
    </w:p>
    <w:p>
      <w:pPr>
        <w:widowControl w:val="0"/>
        <w:autoSpaceDE w:val="0"/>
        <w:autoSpaceDN w:val="0"/>
        <w:spacing w:after="0"/>
        <w:jc w:val="right"/>
        <w:rPr>
          <w:rFonts w:hint="default" w:ascii="Gotham Pro" w:hAnsi="Gotham Pro" w:cs="Gotham Pro"/>
          <w:sz w:val="20"/>
          <w:szCs w:val="20"/>
          <w:lang w:val="ru-RU"/>
        </w:rPr>
      </w:pPr>
      <w:r>
        <w:rPr>
          <w:rFonts w:hint="default" w:ascii="Gotham Pro" w:hAnsi="Gotham Pro" w:cs="Gotham Pro"/>
          <w:sz w:val="20"/>
          <w:szCs w:val="20"/>
        </w:rPr>
        <w:t>таблица 8.2.2.-</w:t>
      </w:r>
      <w:r>
        <w:rPr>
          <w:rFonts w:hint="default" w:ascii="Gotham Pro" w:hAnsi="Gotham Pro" w:cs="Gotham Pro"/>
          <w:sz w:val="20"/>
          <w:szCs w:val="20"/>
          <w:lang w:val="ru-RU"/>
        </w:rPr>
        <w:t>2</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082"/>
        <w:gridCol w:w="2743"/>
        <w:gridCol w:w="29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4"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Источник</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Поражающий фактор</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4"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4"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Неблагоприятные погодные условия, перегрузка сети, механические повреждения в ходе строительных и монтажных работ, техническая неисправность, человеческий фактор, нарушение правил эксплуатации объекта, терроризм, износ оборудования</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Авария, пожары,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воздействие электрического тока, перебои в функционировании объекта</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Травматизм и гибель людей, нарушение систем жизнеобеспечения населения и предприятий,</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загрязнение окружающей среды, ущерб объектам</w:t>
            </w:r>
          </w:p>
        </w:tc>
      </w:tr>
    </w:tbl>
    <w:p>
      <w:pPr>
        <w:widowControl w:val="0"/>
        <w:autoSpaceDE w:val="0"/>
        <w:autoSpaceDN w:val="0"/>
        <w:spacing w:after="0"/>
        <w:jc w:val="center"/>
        <w:rPr>
          <w:rFonts w:hint="default" w:ascii="Gotham Pro" w:hAnsi="Gotham Pro" w:cs="Gotham Pro"/>
          <w:sz w:val="20"/>
          <w:szCs w:val="20"/>
          <w:lang w:eastAsia="en-US"/>
        </w:rPr>
      </w:pPr>
    </w:p>
    <w:p>
      <w:pPr>
        <w:widowControl w:val="0"/>
        <w:autoSpaceDE w:val="0"/>
        <w:autoSpaceDN w:val="0"/>
        <w:spacing w:after="0"/>
        <w:ind w:firstLine="567"/>
        <w:jc w:val="center"/>
        <w:rPr>
          <w:rFonts w:hint="default" w:ascii="Gotham Pro" w:hAnsi="Gotham Pro" w:cs="Gotham Pro"/>
          <w:sz w:val="20"/>
          <w:szCs w:val="20"/>
        </w:rPr>
      </w:pPr>
      <w:r>
        <w:rPr>
          <w:rFonts w:hint="default" w:ascii="Gotham Pro" w:hAnsi="Gotham Pro" w:cs="Gotham Pro"/>
          <w:sz w:val="20"/>
          <w:szCs w:val="20"/>
        </w:rPr>
        <w:t xml:space="preserve">Возможные ЧС при техногенных пожарах </w:t>
      </w:r>
    </w:p>
    <w:p>
      <w:pPr>
        <w:widowControl w:val="0"/>
        <w:autoSpaceDE w:val="0"/>
        <w:autoSpaceDN w:val="0"/>
        <w:spacing w:after="0"/>
        <w:jc w:val="right"/>
        <w:rPr>
          <w:rFonts w:hint="default" w:ascii="Gotham Pro" w:hAnsi="Gotham Pro" w:cs="Gotham Pro"/>
          <w:sz w:val="20"/>
          <w:szCs w:val="20"/>
          <w:lang w:val="ru-RU"/>
        </w:rPr>
      </w:pPr>
      <w:r>
        <w:rPr>
          <w:rFonts w:hint="default" w:ascii="Gotham Pro" w:hAnsi="Gotham Pro" w:cs="Gotham Pro"/>
          <w:sz w:val="20"/>
          <w:szCs w:val="20"/>
        </w:rPr>
        <w:t>таблица 8.2.2.-</w:t>
      </w:r>
      <w:r>
        <w:rPr>
          <w:rFonts w:hint="default" w:ascii="Gotham Pro" w:hAnsi="Gotham Pro" w:cs="Gotham Pro"/>
          <w:sz w:val="20"/>
          <w:szCs w:val="20"/>
          <w:lang w:val="ru-RU"/>
        </w:rPr>
        <w:t>3</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083"/>
        <w:gridCol w:w="2743"/>
        <w:gridCol w:w="292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5"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Источник</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Поражающий фактор</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5"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5"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Неосторожное обращение с огнем, нарушение правил пожарной безопасности, умышленный поджог, курение, неисправное электрооборудование, неумелое обращение с электроприборами, самовоспламенение или самовозгорание веществ и материалов</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 xml:space="preserve">Авария, катастрофа, </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пожары, взрывы,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разлив опасных жидких грузов, воздействие электрического тока, перебои в функционировании объекта</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Травматизм и гибель людей,</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нарушение систем жизнеобеспечения населения и предприятий,</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загрязнение окружающей среды,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ущерб объектам</w:t>
            </w:r>
          </w:p>
        </w:tc>
      </w:tr>
    </w:tbl>
    <w:p>
      <w:pPr>
        <w:widowControl w:val="0"/>
        <w:autoSpaceDE w:val="0"/>
        <w:autoSpaceDN w:val="0"/>
        <w:spacing w:after="0"/>
        <w:jc w:val="center"/>
        <w:rPr>
          <w:rFonts w:hint="default" w:ascii="Gotham Pro" w:hAnsi="Gotham Pro" w:cs="Gotham Pro"/>
          <w:sz w:val="20"/>
          <w:szCs w:val="20"/>
          <w:lang w:eastAsia="en-US"/>
        </w:rPr>
      </w:pPr>
    </w:p>
    <w:p>
      <w:pPr>
        <w:widowControl w:val="0"/>
        <w:autoSpaceDE w:val="0"/>
        <w:autoSpaceDN w:val="0"/>
        <w:spacing w:after="0"/>
        <w:jc w:val="center"/>
        <w:rPr>
          <w:rFonts w:hint="default" w:ascii="Gotham Pro" w:hAnsi="Gotham Pro" w:cs="Gotham Pro"/>
          <w:sz w:val="20"/>
          <w:szCs w:val="20"/>
        </w:rPr>
      </w:pPr>
      <w:r>
        <w:rPr>
          <w:rFonts w:hint="default" w:ascii="Gotham Pro" w:hAnsi="Gotham Pro" w:cs="Gotham Pro"/>
          <w:sz w:val="20"/>
          <w:szCs w:val="20"/>
        </w:rPr>
        <w:t>Возможные ЧС на взрыво- и пожароопасных объектах</w:t>
      </w:r>
    </w:p>
    <w:p>
      <w:pPr>
        <w:widowControl w:val="0"/>
        <w:autoSpaceDE w:val="0"/>
        <w:autoSpaceDN w:val="0"/>
        <w:spacing w:after="0"/>
        <w:jc w:val="right"/>
        <w:rPr>
          <w:rFonts w:hint="default" w:ascii="Gotham Pro" w:hAnsi="Gotham Pro" w:cs="Gotham Pro"/>
          <w:sz w:val="20"/>
          <w:szCs w:val="20"/>
          <w:lang w:val="ru-RU"/>
        </w:rPr>
      </w:pPr>
      <w:r>
        <w:rPr>
          <w:rFonts w:hint="default" w:ascii="Gotham Pro" w:hAnsi="Gotham Pro" w:cs="Gotham Pro"/>
          <w:sz w:val="20"/>
          <w:szCs w:val="20"/>
        </w:rPr>
        <w:t>таблица 8.2.2.-</w:t>
      </w:r>
      <w:r>
        <w:rPr>
          <w:rFonts w:hint="default" w:ascii="Gotham Pro" w:hAnsi="Gotham Pro" w:cs="Gotham Pro"/>
          <w:sz w:val="20"/>
          <w:szCs w:val="20"/>
          <w:lang w:val="ru-RU"/>
        </w:rPr>
        <w:t>4</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082"/>
        <w:gridCol w:w="2743"/>
        <w:gridCol w:w="29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4"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Источник</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Поражающий фактор</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4"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94"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Неосторожное обращение с огнем, нарушение правил пожарной безопасности, умышленный поджог, курение, неисправное электрооборудование, неумелое обращение с электроприборами, самовоспламенение или самовозгорание веществ и материалов</w:t>
            </w:r>
          </w:p>
        </w:tc>
        <w:tc>
          <w:tcPr>
            <w:tcW w:w="1407"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 xml:space="preserve">Авария, катастрофа, </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пожары, взрывы,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разлив опасных жидких грузов, воздействие электрического тока, перебои в функционировании объекта</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Травматизм и гибель людей,</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нарушение систем жизнеобеспечения населения и предприятий,</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загрязнение окружающей среды,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ущерб объектам</w:t>
            </w:r>
          </w:p>
        </w:tc>
      </w:tr>
    </w:tbl>
    <w:p>
      <w:pPr>
        <w:widowControl w:val="0"/>
        <w:autoSpaceDE w:val="0"/>
        <w:autoSpaceDN w:val="0"/>
        <w:spacing w:after="0"/>
        <w:jc w:val="center"/>
        <w:rPr>
          <w:rFonts w:hint="default" w:ascii="Gotham Pro" w:hAnsi="Gotham Pro" w:cs="Gotham Pro"/>
          <w:sz w:val="20"/>
          <w:szCs w:val="20"/>
          <w:lang w:eastAsia="en-US"/>
        </w:rPr>
      </w:pPr>
    </w:p>
    <w:p>
      <w:pPr>
        <w:widowControl w:val="0"/>
        <w:autoSpaceDE w:val="0"/>
        <w:autoSpaceDN w:val="0"/>
        <w:spacing w:after="0"/>
        <w:jc w:val="center"/>
        <w:rPr>
          <w:rFonts w:hint="default" w:ascii="Gotham Pro" w:hAnsi="Gotham Pro" w:cs="Gotham Pro"/>
          <w:sz w:val="20"/>
          <w:szCs w:val="20"/>
        </w:rPr>
      </w:pPr>
      <w:r>
        <w:rPr>
          <w:rFonts w:hint="default" w:ascii="Gotham Pro" w:hAnsi="Gotham Pro" w:cs="Gotham Pro"/>
          <w:sz w:val="20"/>
          <w:szCs w:val="20"/>
        </w:rPr>
        <w:t>Возможные ЧС на объектах транспортной инфраструктуры</w:t>
      </w:r>
    </w:p>
    <w:p>
      <w:pPr>
        <w:widowControl w:val="0"/>
        <w:autoSpaceDE w:val="0"/>
        <w:autoSpaceDN w:val="0"/>
        <w:spacing w:after="0"/>
        <w:jc w:val="right"/>
        <w:rPr>
          <w:rFonts w:hint="default" w:ascii="Gotham Pro" w:hAnsi="Gotham Pro" w:cs="Gotham Pro"/>
          <w:sz w:val="20"/>
          <w:szCs w:val="20"/>
          <w:lang w:val="ru-RU"/>
        </w:rPr>
      </w:pPr>
      <w:r>
        <w:rPr>
          <w:rFonts w:hint="default" w:ascii="Gotham Pro" w:hAnsi="Gotham Pro" w:cs="Gotham Pro"/>
          <w:sz w:val="20"/>
          <w:szCs w:val="20"/>
        </w:rPr>
        <w:t>таблица 8.2.2.-</w:t>
      </w:r>
      <w:r>
        <w:rPr>
          <w:rFonts w:hint="default" w:ascii="Gotham Pro" w:hAnsi="Gotham Pro" w:cs="Gotham Pro"/>
          <w:sz w:val="20"/>
          <w:szCs w:val="20"/>
          <w:lang w:val="ru-RU"/>
        </w:rPr>
        <w:t>5</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4033"/>
        <w:gridCol w:w="2793"/>
        <w:gridCol w:w="2920"/>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69"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Источник</w:t>
            </w:r>
          </w:p>
        </w:tc>
        <w:tc>
          <w:tcPr>
            <w:tcW w:w="1433"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Поражающий фактор</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eastAsia="en-US"/>
              </w:rPr>
            </w:pPr>
            <w:r>
              <w:rPr>
                <w:rFonts w:hint="default" w:ascii="Gotham Pro" w:hAnsi="Gotham Pro" w:cs="Gotham Pro"/>
                <w:sz w:val="20"/>
                <w:szCs w:val="20"/>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69"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1</w:t>
            </w:r>
          </w:p>
        </w:tc>
        <w:tc>
          <w:tcPr>
            <w:tcW w:w="1433"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center"/>
              <w:rPr>
                <w:rFonts w:hint="default" w:ascii="Gotham Pro" w:hAnsi="Gotham Pro" w:cs="Gotham Pro"/>
                <w:sz w:val="20"/>
                <w:szCs w:val="20"/>
                <w:lang w:val="ru-RU"/>
              </w:rPr>
            </w:pPr>
            <w:r>
              <w:rPr>
                <w:rFonts w:hint="default" w:ascii="Gotham Pro" w:hAnsi="Gotham Pro" w:cs="Gotham Pro"/>
                <w:sz w:val="20"/>
                <w:szCs w:val="20"/>
                <w:lang w:val="ru-RU"/>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2069"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Неблагоприятные погодные условия, механические повреждения в ходе строительных и монтажных работ, техническая неисправность, человеческий фактор, нарушение правил эксплуатации объекта, износ оборудования, терроризм, нарушение правил дорожного движения</w:t>
            </w:r>
          </w:p>
        </w:tc>
        <w:tc>
          <w:tcPr>
            <w:tcW w:w="1433"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Авария, катастрофа, пожары, взрывы,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разлив опасных жидких грузов, воздействие электрического тока, затопление, перебои в функционировании объекта</w:t>
            </w:r>
          </w:p>
        </w:tc>
        <w:tc>
          <w:tcPr>
            <w:tcW w:w="1498" w:type="pct"/>
            <w:tcBorders>
              <w:top w:val="single" w:color="auto" w:sz="2" w:space="0"/>
              <w:left w:val="single" w:color="auto" w:sz="2" w:space="0"/>
              <w:bottom w:val="single" w:color="auto" w:sz="2" w:space="0"/>
              <w:right w:val="single" w:color="auto" w:sz="2" w:space="0"/>
            </w:tcBorders>
          </w:tcPr>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Травматизм и гибель людей, нарушение систем жизнеобеспечения населения и предприятий,</w:t>
            </w:r>
          </w:p>
          <w:p>
            <w:pPr>
              <w:widowControl w:val="0"/>
              <w:autoSpaceDE w:val="0"/>
              <w:autoSpaceDN w:val="0"/>
              <w:spacing w:after="0"/>
              <w:jc w:val="both"/>
              <w:rPr>
                <w:rFonts w:hint="default" w:ascii="Gotham Pro" w:hAnsi="Gotham Pro" w:cs="Gotham Pro"/>
                <w:sz w:val="20"/>
                <w:szCs w:val="20"/>
              </w:rPr>
            </w:pPr>
            <w:r>
              <w:rPr>
                <w:rFonts w:hint="default" w:ascii="Gotham Pro" w:hAnsi="Gotham Pro" w:cs="Gotham Pro"/>
                <w:sz w:val="20"/>
                <w:szCs w:val="20"/>
              </w:rPr>
              <w:t>загрязнение окружающей среды,</w:t>
            </w:r>
          </w:p>
          <w:p>
            <w:pPr>
              <w:widowControl w:val="0"/>
              <w:autoSpaceDE w:val="0"/>
              <w:autoSpaceDN w:val="0"/>
              <w:spacing w:after="0"/>
              <w:jc w:val="both"/>
              <w:rPr>
                <w:rFonts w:hint="default" w:ascii="Gotham Pro" w:hAnsi="Gotham Pro" w:cs="Gotham Pro"/>
                <w:sz w:val="20"/>
                <w:szCs w:val="20"/>
                <w:lang w:eastAsia="en-US"/>
              </w:rPr>
            </w:pPr>
            <w:r>
              <w:rPr>
                <w:rFonts w:hint="default" w:ascii="Gotham Pro" w:hAnsi="Gotham Pro" w:cs="Gotham Pro"/>
                <w:sz w:val="20"/>
                <w:szCs w:val="20"/>
              </w:rPr>
              <w:t>ущерб объектам</w:t>
            </w:r>
          </w:p>
        </w:tc>
      </w:tr>
    </w:tbl>
    <w:p>
      <w:pPr>
        <w:pStyle w:val="11"/>
        <w:spacing w:line="276" w:lineRule="auto"/>
        <w:ind w:firstLine="567"/>
        <w:jc w:val="both"/>
        <w:rPr>
          <w:rStyle w:val="10"/>
          <w:rFonts w:ascii="Times New Roman" w:hAnsi="Times New Roman" w:eastAsiaTheme="majorEastAsia"/>
          <w:sz w:val="28"/>
          <w:szCs w:val="28"/>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b/>
          <w:bCs/>
          <w:sz w:val="24"/>
          <w:szCs w:val="24"/>
        </w:rPr>
      </w:pPr>
      <w:r>
        <w:rPr>
          <w:rFonts w:hint="default" w:ascii="Gotham Pro" w:hAnsi="Gotham Pro" w:cs="Gotham Pro"/>
          <w:b/>
          <w:bCs/>
          <w:sz w:val="24"/>
          <w:szCs w:val="24"/>
        </w:rPr>
        <w:t>8.2.3. Перечень и характеристики возможных источников ЧС природного характера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eastAsia="Times New Roman" w:cs="Gotham Pro"/>
          <w:sz w:val="24"/>
          <w:szCs w:val="24"/>
          <w:lang w:eastAsia="en-US"/>
        </w:rPr>
      </w:pPr>
      <w:r>
        <w:rPr>
          <w:rFonts w:hint="default" w:ascii="Gotham Pro" w:hAnsi="Gotham Pro" w:eastAsia="Times New Roman" w:cs="Gotham Pro"/>
          <w:sz w:val="24"/>
          <w:szCs w:val="24"/>
          <w:lang w:eastAsia="en-US"/>
        </w:rPr>
        <w:t>ЧС природного характера — это неблагоприятные обстоятельства, сложившиеся на определенной территории в результате одного или нескольких опасных природных явлений, которые могут повлечь за собой человеческие жертвы, ущерб здоровью людей, большие материальные потери и нарушение условий жизнедеятельности населения (рис. 8.2.</w:t>
      </w:r>
      <w:r>
        <w:rPr>
          <w:rFonts w:hint="default" w:ascii="Gotham Pro" w:hAnsi="Gotham Pro" w:eastAsia="Times New Roman" w:cs="Gotham Pro"/>
          <w:sz w:val="24"/>
          <w:szCs w:val="24"/>
          <w:lang w:val="ru-RU" w:eastAsia="en-US"/>
        </w:rPr>
        <w:t>3.</w:t>
      </w:r>
      <w:r>
        <w:rPr>
          <w:rFonts w:hint="default" w:ascii="Gotham Pro" w:hAnsi="Gotham Pro" w:eastAsia="Times New Roman" w:cs="Gotham Pro"/>
          <w:sz w:val="24"/>
          <w:szCs w:val="24"/>
          <w:lang w:eastAsia="en-US"/>
        </w:rPr>
        <w:t>-1).</w:t>
      </w:r>
    </w:p>
    <w:p>
      <w:pPr>
        <w:widowControl w:val="0"/>
        <w:autoSpaceDE w:val="0"/>
        <w:autoSpaceDN w:val="0"/>
        <w:spacing w:after="0"/>
        <w:ind w:firstLine="567"/>
        <w:jc w:val="center"/>
        <w:rPr>
          <w:rFonts w:ascii="Times New Roman" w:hAnsi="Times New Roman" w:eastAsia="Times New Roman" w:cs="Times New Roman"/>
          <w:sz w:val="24"/>
          <w:szCs w:val="24"/>
          <w:lang w:eastAsia="en-US"/>
        </w:rPr>
      </w:pPr>
    </w:p>
    <w:p>
      <w:pPr>
        <w:widowControl w:val="0"/>
        <w:autoSpaceDE w:val="0"/>
        <w:autoSpaceDN w:val="0"/>
        <w:spacing w:after="0"/>
        <w:ind w:firstLine="567"/>
        <w:jc w:val="center"/>
        <w:rPr>
          <w:rFonts w:hint="default" w:ascii="Gotham Pro" w:hAnsi="Gotham Pro" w:eastAsia="Times New Roman" w:cs="Gotham Pro"/>
          <w:sz w:val="20"/>
          <w:szCs w:val="20"/>
          <w:lang w:eastAsia="en-US"/>
        </w:rPr>
      </w:pPr>
      <w:r>
        <w:rPr>
          <w:rFonts w:hint="default" w:ascii="Gotham Pro" w:hAnsi="Gotham Pro" w:eastAsia="Times New Roman" w:cs="Gotham Pro"/>
          <w:sz w:val="20"/>
          <w:szCs w:val="20"/>
          <w:lang w:eastAsia="en-US"/>
        </w:rPr>
        <w:t>Классификация ЧС природного характера</w:t>
      </w:r>
    </w:p>
    <w:p>
      <w:pPr>
        <w:widowControl w:val="0"/>
        <w:autoSpaceDE w:val="0"/>
        <w:autoSpaceDN w:val="0"/>
        <w:spacing w:after="0"/>
        <w:ind w:firstLine="567"/>
        <w:jc w:val="right"/>
        <w:rPr>
          <w:rFonts w:hint="default" w:ascii="Gotham Pro" w:hAnsi="Gotham Pro" w:eastAsia="Times New Roman" w:cs="Gotham Pro"/>
          <w:sz w:val="20"/>
          <w:szCs w:val="20"/>
          <w:lang w:eastAsia="en-US"/>
        </w:rPr>
      </w:pPr>
      <w:r>
        <w:rPr>
          <w:rFonts w:hint="default" w:ascii="Gotham Pro" w:hAnsi="Gotham Pro" w:eastAsia="Times New Roman" w:cs="Gotham Pro"/>
          <w:sz w:val="20"/>
          <w:szCs w:val="20"/>
          <w:lang w:eastAsia="en-US"/>
        </w:rPr>
        <w:t>рис. 8.2.</w:t>
      </w:r>
      <w:r>
        <w:rPr>
          <w:rFonts w:hint="default" w:ascii="Gotham Pro" w:hAnsi="Gotham Pro" w:eastAsia="Times New Roman" w:cs="Gotham Pro"/>
          <w:sz w:val="20"/>
          <w:szCs w:val="20"/>
          <w:lang w:val="ru-RU" w:eastAsia="en-US"/>
        </w:rPr>
        <w:t>3.</w:t>
      </w:r>
      <w:r>
        <w:rPr>
          <w:rFonts w:hint="default" w:ascii="Gotham Pro" w:hAnsi="Gotham Pro" w:eastAsia="Times New Roman" w:cs="Gotham Pro"/>
          <w:sz w:val="20"/>
          <w:szCs w:val="20"/>
          <w:lang w:eastAsia="en-US"/>
        </w:rPr>
        <w:t>-1</w:t>
      </w:r>
    </w:p>
    <w:p>
      <w:pPr>
        <w:widowControl w:val="0"/>
        <w:autoSpaceDE w:val="0"/>
        <w:autoSpaceDN w:val="0"/>
        <w:spacing w:after="0"/>
        <w:jc w:val="center"/>
        <w:rPr>
          <w:rFonts w:ascii="Times New Roman" w:hAnsi="Times New Roman" w:eastAsia="Times New Roman" w:cs="Times New Roman"/>
          <w:sz w:val="24"/>
          <w:szCs w:val="24"/>
          <w:lang w:eastAsia="en-US"/>
        </w:rPr>
      </w:pPr>
      <w:r>
        <w:rPr>
          <w:rFonts w:ascii="Times New Roman" w:hAnsi="Times New Roman" w:eastAsia="Times New Roman" w:cs="Times New Roman"/>
        </w:rPr>
        <w:drawing>
          <wp:inline distT="0" distB="0" distL="0" distR="0">
            <wp:extent cx="5572125" cy="2012950"/>
            <wp:effectExtent l="0" t="0" r="5715" b="13970"/>
            <wp:docPr id="2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Рисунок 15"/>
                    <pic:cNvPicPr>
                      <a:picLocks noChangeAspect="1"/>
                    </pic:cNvPicPr>
                  </pic:nvPicPr>
                  <pic:blipFill>
                    <a:blip r:embed="rId14"/>
                    <a:stretch>
                      <a:fillRect/>
                    </a:stretch>
                  </pic:blipFill>
                  <pic:spPr>
                    <a:xfrm>
                      <a:off x="0" y="0"/>
                      <a:ext cx="5572125" cy="2012950"/>
                    </a:xfrm>
                    <a:prstGeom prst="rect">
                      <a:avLst/>
                    </a:prstGeom>
                  </pic:spPr>
                </pic:pic>
              </a:graphicData>
            </a:graphic>
          </wp:inline>
        </w:drawing>
      </w:r>
    </w:p>
    <w:p>
      <w:pPr>
        <w:widowControl w:val="0"/>
        <w:autoSpaceDE w:val="0"/>
        <w:autoSpaceDN w:val="0"/>
        <w:spacing w:after="0"/>
        <w:ind w:firstLine="567"/>
        <w:jc w:val="both"/>
        <w:rPr>
          <w:rFonts w:ascii="Times New Roman" w:hAnsi="Times New Roman" w:eastAsia="Times New Roman" w:cs="Times New Roman"/>
          <w:b/>
          <w:bCs/>
          <w:sz w:val="28"/>
          <w:szCs w:val="28"/>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lang w:eastAsia="en-US"/>
        </w:rPr>
      </w:pPr>
      <w:r>
        <w:rPr>
          <w:rFonts w:hint="default" w:ascii="Gotham Pro" w:hAnsi="Gotham Pro" w:cs="Gotham Pro"/>
          <w:b/>
          <w:bCs/>
          <w:sz w:val="24"/>
          <w:szCs w:val="24"/>
          <w:lang w:eastAsia="en-US"/>
        </w:rPr>
        <w:t>Землетрясение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en-US"/>
        </w:rPr>
        <w:t xml:space="preserve">Еравнинский район входит в зону высокой сейсмичности согласно Карте общего сейсмического районирования территории Российской Федерации - ОСР-2015 (рис. 8.2.-2, 8.2.-3, 8.2.-4). </w:t>
      </w:r>
      <w:r>
        <w:rPr>
          <w:rFonts w:hint="default" w:ascii="Gotham Pro" w:hAnsi="Gotham Pro" w:cs="Gotham Pro"/>
          <w:sz w:val="24"/>
          <w:szCs w:val="24"/>
          <w:lang w:eastAsia="ar-SA"/>
        </w:rPr>
        <w:t xml:space="preserve">Село Сосново-Озерское входит в Список населенных пунктов Российской Федерации, расположенных в сейсмических районах, с указанием расчетной сейсмической интенсивности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в баллах шкалы MSK-64 для средних грунтовых условий и трех степеней сейсмической опасности – A (10%), B (5%), C (1%) в течение 50 лет «СП 14.13330.2018. Свод правил. Строительство в сейсмических районах. Актуализированная редакция СниП II-7-81».</w:t>
      </w:r>
    </w:p>
    <w:p>
      <w:pPr>
        <w:suppressAutoHyphens/>
        <w:spacing w:after="0"/>
        <w:jc w:val="right"/>
        <w:rPr>
          <w:rFonts w:ascii="Times New Roman" w:hAnsi="Times New Roman" w:eastAsia="Times New Roman" w:cs="Times New Roman"/>
          <w:sz w:val="24"/>
          <w:szCs w:val="24"/>
          <w:lang w:eastAsia="ar-SA"/>
        </w:rPr>
      </w:pPr>
    </w:p>
    <w:p>
      <w:pPr>
        <w:suppressAutoHyphens/>
        <w:spacing w:after="0"/>
        <w:jc w:val="right"/>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рис. 8.2.</w:t>
      </w:r>
      <w:r>
        <w:rPr>
          <w:rFonts w:hint="default" w:ascii="Gotham Pro" w:hAnsi="Gotham Pro" w:eastAsia="Times New Roman" w:cs="Gotham Pro"/>
          <w:sz w:val="20"/>
          <w:szCs w:val="20"/>
          <w:lang w:val="ru-RU" w:eastAsia="ar-SA"/>
        </w:rPr>
        <w:t>3.</w:t>
      </w:r>
      <w:r>
        <w:rPr>
          <w:rFonts w:hint="default" w:ascii="Gotham Pro" w:hAnsi="Gotham Pro" w:eastAsia="Times New Roman" w:cs="Gotham Pro"/>
          <w:sz w:val="20"/>
          <w:szCs w:val="20"/>
          <w:lang w:eastAsia="ar-SA"/>
        </w:rPr>
        <w:t>-2</w:t>
      </w:r>
    </w:p>
    <w:p>
      <w:pPr>
        <w:suppressAutoHyphens/>
        <w:spacing w:after="0"/>
        <w:jc w:val="center"/>
        <w:rPr>
          <w:rFonts w:ascii="Times New Roman" w:hAnsi="Times New Roman" w:eastAsia="Times New Roman" w:cs="Times New Roman"/>
          <w:sz w:val="28"/>
          <w:szCs w:val="28"/>
          <w:lang w:eastAsia="ar-SA"/>
        </w:rPr>
      </w:pPr>
      <w:r>
        <w:rPr>
          <w:rFonts w:ascii="Calibri" w:hAnsi="Calibri" w:eastAsia="Times New Roman" w:cs="Times New Roman"/>
          <w:sz w:val="24"/>
          <w:szCs w:val="24"/>
        </w:rPr>
        <w:drawing>
          <wp:inline distT="0" distB="0" distL="0" distR="0">
            <wp:extent cx="5710555" cy="3806825"/>
            <wp:effectExtent l="0" t="0" r="4445" b="3175"/>
            <wp:docPr id="2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Рисунок 9"/>
                    <pic:cNvPicPr>
                      <a:picLocks noChangeAspect="1"/>
                    </pic:cNvPicPr>
                  </pic:nvPicPr>
                  <pic:blipFill>
                    <a:blip r:embed="rId15"/>
                    <a:stretch>
                      <a:fillRect/>
                    </a:stretch>
                  </pic:blipFill>
                  <pic:spPr>
                    <a:xfrm>
                      <a:off x="0" y="0"/>
                      <a:ext cx="5710983" cy="3807124"/>
                    </a:xfrm>
                    <a:prstGeom prst="rect">
                      <a:avLst/>
                    </a:prstGeom>
                  </pic:spPr>
                </pic:pic>
              </a:graphicData>
            </a:graphic>
          </wp:inline>
        </w:drawing>
      </w:r>
    </w:p>
    <w:p>
      <w:pPr>
        <w:suppressAutoHyphens/>
        <w:spacing w:after="0"/>
        <w:ind w:firstLine="567"/>
        <w:jc w:val="right"/>
        <w:rPr>
          <w:rFonts w:ascii="Times New Roman" w:hAnsi="Times New Roman" w:eastAsia="Times New Roman" w:cs="Times New Roman"/>
          <w:sz w:val="24"/>
          <w:szCs w:val="24"/>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p>
    <w:p>
      <w:pPr>
        <w:suppressAutoHyphens/>
        <w:spacing w:after="0"/>
        <w:ind w:firstLine="567"/>
        <w:jc w:val="right"/>
        <w:rPr>
          <w:rFonts w:hint="default" w:ascii="Gotham Pro" w:hAnsi="Gotham Pro" w:eastAsia="Times New Roman" w:cs="Gotham Pro"/>
          <w:sz w:val="22"/>
          <w:szCs w:val="22"/>
          <w:lang w:eastAsia="ar-SA"/>
        </w:rPr>
      </w:pPr>
      <w:r>
        <w:rPr>
          <w:rFonts w:hint="default" w:ascii="Gotham Pro" w:hAnsi="Gotham Pro" w:eastAsia="Times New Roman" w:cs="Gotham Pro"/>
          <w:sz w:val="22"/>
          <w:szCs w:val="22"/>
          <w:lang w:eastAsia="ar-SA"/>
        </w:rPr>
        <w:t>рис. 8.2.</w:t>
      </w:r>
      <w:r>
        <w:rPr>
          <w:rFonts w:hint="default" w:ascii="Gotham Pro" w:hAnsi="Gotham Pro" w:eastAsia="Times New Roman" w:cs="Gotham Pro"/>
          <w:sz w:val="22"/>
          <w:szCs w:val="22"/>
          <w:lang w:val="ru-RU" w:eastAsia="ar-SA"/>
        </w:rPr>
        <w:t>3.</w:t>
      </w:r>
      <w:r>
        <w:rPr>
          <w:rFonts w:hint="default" w:ascii="Gotham Pro" w:hAnsi="Gotham Pro" w:eastAsia="Times New Roman" w:cs="Gotham Pro"/>
          <w:sz w:val="22"/>
          <w:szCs w:val="22"/>
          <w:lang w:eastAsia="ar-SA"/>
        </w:rPr>
        <w:t>-3</w:t>
      </w:r>
    </w:p>
    <w:p>
      <w:pPr>
        <w:suppressAutoHyphens/>
        <w:spacing w:after="0"/>
        <w:jc w:val="center"/>
        <w:rPr>
          <w:rFonts w:ascii="Times New Roman" w:hAnsi="Times New Roman" w:eastAsia="Times New Roman" w:cs="Times New Roman"/>
          <w:sz w:val="24"/>
          <w:szCs w:val="24"/>
          <w:lang w:eastAsia="ar-SA"/>
        </w:rPr>
      </w:pPr>
      <w:r>
        <w:rPr>
          <w:rFonts w:ascii="Calibri" w:hAnsi="Calibri" w:eastAsia="Times New Roman" w:cs="Times New Roman"/>
          <w:sz w:val="24"/>
          <w:szCs w:val="24"/>
        </w:rPr>
        <w:drawing>
          <wp:inline distT="0" distB="0" distL="0" distR="0">
            <wp:extent cx="5758815" cy="3848100"/>
            <wp:effectExtent l="0" t="0" r="1905" b="762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Рисунок 11"/>
                    <pic:cNvPicPr>
                      <a:picLocks noChangeAspect="1"/>
                    </pic:cNvPicPr>
                  </pic:nvPicPr>
                  <pic:blipFill>
                    <a:blip r:embed="rId16"/>
                    <a:stretch>
                      <a:fillRect/>
                    </a:stretch>
                  </pic:blipFill>
                  <pic:spPr>
                    <a:xfrm>
                      <a:off x="0" y="0"/>
                      <a:ext cx="5765057" cy="3852142"/>
                    </a:xfrm>
                    <a:prstGeom prst="rect">
                      <a:avLst/>
                    </a:prstGeom>
                  </pic:spPr>
                </pic:pic>
              </a:graphicData>
            </a:graphic>
          </wp:inline>
        </w:drawing>
      </w:r>
    </w:p>
    <w:p>
      <w:pPr>
        <w:suppressAutoHyphens/>
        <w:spacing w:after="0"/>
        <w:ind w:firstLine="567"/>
        <w:jc w:val="right"/>
        <w:rPr>
          <w:rFonts w:ascii="Times New Roman" w:hAnsi="Times New Roman" w:eastAsia="Times New Roman" w:cs="Times New Roman"/>
          <w:sz w:val="24"/>
          <w:szCs w:val="24"/>
          <w:lang w:eastAsia="ar-SA"/>
        </w:rPr>
      </w:pPr>
    </w:p>
    <w:p>
      <w:pPr>
        <w:suppressAutoHyphens/>
        <w:spacing w:after="0"/>
        <w:ind w:firstLine="567"/>
        <w:jc w:val="right"/>
        <w:rPr>
          <w:rFonts w:hint="default" w:ascii="Gotham Pro" w:hAnsi="Gotham Pro" w:eastAsia="Times New Roman" w:cs="Gotham Pro"/>
          <w:sz w:val="22"/>
          <w:szCs w:val="22"/>
          <w:lang w:eastAsia="ar-SA"/>
        </w:rPr>
      </w:pPr>
      <w:r>
        <w:rPr>
          <w:rFonts w:hint="default" w:ascii="Gotham Pro" w:hAnsi="Gotham Pro" w:eastAsia="Times New Roman" w:cs="Gotham Pro"/>
          <w:sz w:val="22"/>
          <w:szCs w:val="22"/>
          <w:lang w:eastAsia="ar-SA"/>
        </w:rPr>
        <w:t>рис. 8.2.</w:t>
      </w:r>
      <w:r>
        <w:rPr>
          <w:rFonts w:hint="default" w:ascii="Gotham Pro" w:hAnsi="Gotham Pro" w:eastAsia="Times New Roman" w:cs="Gotham Pro"/>
          <w:sz w:val="22"/>
          <w:szCs w:val="22"/>
          <w:lang w:val="ru-RU" w:eastAsia="ar-SA"/>
        </w:rPr>
        <w:t>3.</w:t>
      </w:r>
      <w:r>
        <w:rPr>
          <w:rFonts w:hint="default" w:ascii="Gotham Pro" w:hAnsi="Gotham Pro" w:eastAsia="Times New Roman" w:cs="Gotham Pro"/>
          <w:sz w:val="22"/>
          <w:szCs w:val="22"/>
          <w:lang w:eastAsia="ar-SA"/>
        </w:rPr>
        <w:t>-4</w:t>
      </w:r>
    </w:p>
    <w:p>
      <w:pPr>
        <w:suppressAutoHyphens/>
        <w:spacing w:after="0"/>
        <w:jc w:val="center"/>
        <w:rPr>
          <w:rFonts w:ascii="Times New Roman" w:hAnsi="Times New Roman" w:eastAsia="Times New Roman" w:cs="Times New Roman"/>
          <w:sz w:val="24"/>
          <w:szCs w:val="24"/>
          <w:lang w:eastAsia="ar-SA"/>
        </w:rPr>
      </w:pPr>
      <w:r>
        <w:rPr>
          <w:rFonts w:ascii="Calibri" w:hAnsi="Calibri" w:eastAsia="Times New Roman" w:cs="Times New Roman"/>
          <w:sz w:val="24"/>
          <w:szCs w:val="24"/>
        </w:rPr>
        <w:drawing>
          <wp:inline distT="0" distB="0" distL="0" distR="0">
            <wp:extent cx="5654040" cy="3787140"/>
            <wp:effectExtent l="0" t="0" r="0" b="7620"/>
            <wp:docPr id="26"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Рисунок 13"/>
                    <pic:cNvPicPr>
                      <a:picLocks noChangeAspect="1"/>
                    </pic:cNvPicPr>
                  </pic:nvPicPr>
                  <pic:blipFill>
                    <a:blip r:embed="rId17"/>
                    <a:stretch>
                      <a:fillRect/>
                    </a:stretch>
                  </pic:blipFill>
                  <pic:spPr>
                    <a:xfrm>
                      <a:off x="0" y="0"/>
                      <a:ext cx="5658885" cy="3790003"/>
                    </a:xfrm>
                    <a:prstGeom prst="rect">
                      <a:avLst/>
                    </a:prstGeom>
                  </pic:spPr>
                </pic:pic>
              </a:graphicData>
            </a:graphic>
          </wp:inline>
        </w:drawing>
      </w:r>
    </w:p>
    <w:p>
      <w:pPr>
        <w:suppressAutoHyphens/>
        <w:spacing w:after="0"/>
        <w:ind w:firstLine="567"/>
        <w:jc w:val="center"/>
        <w:rPr>
          <w:rFonts w:ascii="Times New Roman" w:hAnsi="Times New Roman" w:eastAsia="Times New Roman" w:cs="Times New Roman"/>
          <w:sz w:val="24"/>
          <w:szCs w:val="24"/>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 при землетрясении</w:t>
      </w:r>
    </w:p>
    <w:p>
      <w:pPr>
        <w:pStyle w:val="11"/>
        <w:bidi w:val="0"/>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w:t>
      </w:r>
      <w:r>
        <w:rPr>
          <w:rFonts w:hint="default" w:ascii="Gotham Pro" w:hAnsi="Gotham Pro" w:cs="Gotham Pro"/>
          <w:sz w:val="20"/>
          <w:szCs w:val="20"/>
          <w:lang w:val="ru-RU" w:eastAsia="ar-SA"/>
        </w:rPr>
        <w:t>3.</w:t>
      </w:r>
      <w:r>
        <w:rPr>
          <w:rFonts w:hint="default" w:ascii="Gotham Pro" w:hAnsi="Gotham Pro" w:cs="Gotham Pro"/>
          <w:sz w:val="20"/>
          <w:szCs w:val="20"/>
          <w:lang w:eastAsia="ar-SA"/>
        </w:rPr>
        <w:t>-1</w:t>
      </w:r>
    </w:p>
    <w:tbl>
      <w:tblPr>
        <w:tblStyle w:val="3"/>
        <w:tblW w:w="4944"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573"/>
        <w:gridCol w:w="3312"/>
        <w:gridCol w:w="385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0" w:hRule="atLeast"/>
        </w:trPr>
        <w:tc>
          <w:tcPr>
            <w:tcW w:w="1320"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699"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1979"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320"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699"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1979"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551" w:hRule="atLeast"/>
        </w:trPr>
        <w:tc>
          <w:tcPr>
            <w:tcW w:w="1320"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Землетрясение</w:t>
            </w:r>
          </w:p>
        </w:tc>
        <w:tc>
          <w:tcPr>
            <w:tcW w:w="1699"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Смещение, вибрация почвогрунтов, разломы, камнепады, оползни, сели,</w:t>
            </w: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аварии, взрывы, пожары, воздействие электрического тока, перебои в функционировании объекта</w:t>
            </w:r>
          </w:p>
        </w:tc>
        <w:tc>
          <w:tcPr>
            <w:tcW w:w="1979"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Разрушение зданий, сооружений,</w:t>
            </w: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травматизм и гибель людей, нарушение систем жизнеобеспечения населения и предприятий, загрязнение окружающей среды, ущерб объектам</w:t>
            </w:r>
          </w:p>
        </w:tc>
      </w:tr>
    </w:tbl>
    <w:p>
      <w:pPr>
        <w:suppressAutoHyphens/>
        <w:spacing w:after="0"/>
        <w:ind w:firstLine="567"/>
        <w:jc w:val="both"/>
        <w:rPr>
          <w:rFonts w:ascii="Times New Roman" w:hAnsi="Times New Roman" w:eastAsia="Times New Roman" w:cs="Times New Roman"/>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firstLine="567"/>
        <w:jc w:val="both"/>
        <w:textAlignment w:val="auto"/>
        <w:rPr>
          <w:rFonts w:hint="default" w:ascii="Gotham Pro" w:hAnsi="Gotham Pro" w:eastAsia="Times New Roman" w:cs="Gotham Pro"/>
          <w:b/>
          <w:bCs/>
          <w:sz w:val="24"/>
          <w:szCs w:val="24"/>
          <w:lang w:eastAsia="ar-SA"/>
        </w:rPr>
      </w:pPr>
      <w:r>
        <w:rPr>
          <w:rFonts w:hint="default" w:ascii="Gotham Pro" w:hAnsi="Gotham Pro" w:eastAsia="Times New Roman" w:cs="Gotham Pro"/>
          <w:b/>
          <w:bCs/>
          <w:sz w:val="24"/>
          <w:szCs w:val="24"/>
          <w:lang w:eastAsia="ar-SA"/>
        </w:rPr>
        <w:t>Затопления и подтопления</w:t>
      </w:r>
    </w:p>
    <w:p>
      <w:pPr>
        <w:keepNext w:val="0"/>
        <w:keepLines w:val="0"/>
        <w:pageBreakBefore w:val="0"/>
        <w:widowControl/>
        <w:shd w:val="clear" w:color="auto" w:fill="FFFFFF" w:themeFill="background1"/>
        <w:suppressAutoHyphens/>
        <w:kinsoku/>
        <w:wordWrap/>
        <w:overflowPunct/>
        <w:topLinePunct w:val="0"/>
        <w:autoSpaceDE/>
        <w:autoSpaceDN/>
        <w:bidi w:val="0"/>
        <w:adjustRightInd/>
        <w:snapToGrid/>
        <w:spacing w:after="0" w:line="300" w:lineRule="auto"/>
        <w:ind w:firstLine="567"/>
        <w:jc w:val="both"/>
        <w:textAlignment w:val="auto"/>
        <w:rPr>
          <w:rFonts w:hint="default" w:ascii="Gotham Pro" w:hAnsi="Gotham Pro" w:eastAsia="Times New Roman" w:cs="Gotham Pro"/>
          <w:sz w:val="24"/>
          <w:szCs w:val="24"/>
          <w:lang w:eastAsia="ar-SA"/>
        </w:rPr>
      </w:pPr>
      <w:r>
        <w:rPr>
          <w:rFonts w:hint="default" w:ascii="Gotham Pro" w:hAnsi="Gotham Pro" w:eastAsia="Times New Roman" w:cs="Gotham Pro"/>
          <w:sz w:val="24"/>
          <w:szCs w:val="24"/>
          <w:lang w:eastAsia="ar-SA"/>
        </w:rPr>
        <w:t xml:space="preserve">Согласно информации Республиканского агентства гражданской обороны и чрезвычайных ситуаций от 07.07.2023 № 75-01-33-и1507-23 </w:t>
      </w:r>
      <w:r>
        <w:rPr>
          <w:rFonts w:hint="default" w:ascii="Gotham Pro" w:hAnsi="Gotham Pro" w:eastAsia="Times New Roman" w:cs="Gotham Pro"/>
          <w:sz w:val="24"/>
          <w:szCs w:val="24"/>
          <w:lang w:val="ru-RU" w:eastAsia="ar-SA"/>
        </w:rPr>
        <w:t>населённые</w:t>
      </w:r>
      <w:r>
        <w:rPr>
          <w:rFonts w:hint="default" w:ascii="Gotham Pro" w:hAnsi="Gotham Pro" w:eastAsia="Times New Roman" w:cs="Gotham Pro"/>
          <w:sz w:val="24"/>
          <w:szCs w:val="24"/>
          <w:lang w:eastAsia="ar-SA"/>
        </w:rPr>
        <w:t xml:space="preserve"> пункты МО СП «Сосново-Озерское» не входят в </w:t>
      </w:r>
      <w:bookmarkStart w:id="33" w:name="_Hlk126245553"/>
      <w:r>
        <w:rPr>
          <w:rFonts w:hint="default" w:ascii="Gotham Pro" w:hAnsi="Gotham Pro" w:eastAsia="Times New Roman" w:cs="Gotham Pro"/>
          <w:sz w:val="24"/>
          <w:szCs w:val="24"/>
          <w:lang w:eastAsia="ar-SA"/>
        </w:rPr>
        <w:t xml:space="preserve">Перечень </w:t>
      </w:r>
      <w:r>
        <w:rPr>
          <w:rFonts w:hint="default" w:ascii="Gotham Pro" w:hAnsi="Gotham Pro" w:eastAsia="Times New Roman" w:cs="Gotham Pro"/>
          <w:sz w:val="24"/>
          <w:szCs w:val="24"/>
          <w:lang w:val="ru-RU" w:eastAsia="ar-SA"/>
        </w:rPr>
        <w:t>населённых</w:t>
      </w:r>
      <w:r>
        <w:rPr>
          <w:rFonts w:hint="default" w:ascii="Gotham Pro" w:hAnsi="Gotham Pro" w:eastAsia="Times New Roman" w:cs="Gotham Pro"/>
          <w:sz w:val="24"/>
          <w:szCs w:val="24"/>
          <w:lang w:eastAsia="ar-SA"/>
        </w:rPr>
        <w:t xml:space="preserve"> пунктов, подверженных затоплению, подтоплению, </w:t>
      </w:r>
      <w:r>
        <w:rPr>
          <w:rFonts w:hint="default" w:ascii="Gotham Pro" w:hAnsi="Gotham Pro" w:eastAsia="Times New Roman" w:cs="Gotham Pro"/>
          <w:sz w:val="24"/>
          <w:szCs w:val="24"/>
          <w:lang w:val="ru-RU" w:eastAsia="ar-SA"/>
        </w:rPr>
        <w:t>утверждённый</w:t>
      </w:r>
      <w:r>
        <w:rPr>
          <w:rFonts w:hint="default" w:ascii="Gotham Pro" w:hAnsi="Gotham Pro" w:eastAsia="Times New Roman" w:cs="Gotham Pro"/>
          <w:sz w:val="24"/>
          <w:szCs w:val="24"/>
          <w:lang w:eastAsia="ar-SA"/>
        </w:rPr>
        <w:t xml:space="preserve"> распоряжением Правительства Республики Бурятия от 01.07.2014 № 377-р</w:t>
      </w:r>
      <w:bookmarkEnd w:id="33"/>
      <w:r>
        <w:rPr>
          <w:rFonts w:hint="default" w:ascii="Gotham Pro" w:hAnsi="Gotham Pro" w:eastAsia="Times New Roman" w:cs="Gotham Pro"/>
          <w:sz w:val="24"/>
          <w:szCs w:val="24"/>
          <w:lang w:eastAsia="ar-SA"/>
        </w:rPr>
        <w:t xml:space="preserve">. </w:t>
      </w:r>
    </w:p>
    <w:p>
      <w:pPr>
        <w:shd w:val="clear" w:color="auto" w:fill="FFFFFF" w:themeFill="background1"/>
        <w:suppressAutoHyphens/>
        <w:spacing w:after="0"/>
        <w:ind w:firstLine="567"/>
        <w:jc w:val="both"/>
        <w:rPr>
          <w:rFonts w:ascii="Times New Roman" w:hAnsi="Times New Roman" w:eastAsia="Times New Roman" w:cs="Times New Roman"/>
          <w:sz w:val="28"/>
          <w:szCs w:val="28"/>
          <w:lang w:eastAsia="ar-SA"/>
        </w:rPr>
      </w:pPr>
    </w:p>
    <w:p>
      <w:pPr>
        <w:shd w:val="clear" w:color="auto" w:fill="FFFFFF" w:themeFill="background1"/>
        <w:suppressAutoHyphens/>
        <w:spacing w:after="0"/>
        <w:ind w:firstLine="567"/>
        <w:jc w:val="center"/>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Возможные ЧС при затоплении и подтоплении</w:t>
      </w:r>
    </w:p>
    <w:p>
      <w:pPr>
        <w:shd w:val="clear" w:color="auto" w:fill="FFFFFF" w:themeFill="background1"/>
        <w:suppressAutoHyphens/>
        <w:spacing w:after="0"/>
        <w:ind w:firstLine="567"/>
        <w:jc w:val="right"/>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таблица 8.2.</w:t>
      </w:r>
      <w:r>
        <w:rPr>
          <w:rFonts w:hint="default" w:ascii="Gotham Pro" w:hAnsi="Gotham Pro" w:eastAsia="Times New Roman" w:cs="Gotham Pro"/>
          <w:sz w:val="20"/>
          <w:szCs w:val="20"/>
          <w:lang w:val="ru-RU" w:eastAsia="ar-SA"/>
        </w:rPr>
        <w:t>3.</w:t>
      </w:r>
      <w:r>
        <w:rPr>
          <w:rFonts w:hint="default" w:ascii="Gotham Pro" w:hAnsi="Gotham Pro" w:eastAsia="Times New Roman" w:cs="Gotham Pro"/>
          <w:sz w:val="20"/>
          <w:szCs w:val="20"/>
          <w:lang w:eastAsia="ar-SA"/>
        </w:rPr>
        <w:t>-2</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2453"/>
        <w:gridCol w:w="3528"/>
        <w:gridCol w:w="3764"/>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258" w:type="pct"/>
          </w:tcPr>
          <w:p>
            <w:pPr>
              <w:shd w:val="clear" w:color="auto" w:fill="FFFFFF" w:themeFill="background1"/>
              <w:suppressAutoHyphens/>
              <w:spacing w:after="0" w:line="240" w:lineRule="auto"/>
              <w:jc w:val="center"/>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Источник</w:t>
            </w:r>
          </w:p>
        </w:tc>
        <w:tc>
          <w:tcPr>
            <w:tcW w:w="1810" w:type="pct"/>
          </w:tcPr>
          <w:p>
            <w:pPr>
              <w:shd w:val="clear" w:color="auto" w:fill="FFFFFF" w:themeFill="background1"/>
              <w:suppressAutoHyphens/>
              <w:spacing w:after="0" w:line="240" w:lineRule="auto"/>
              <w:jc w:val="center"/>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Поражающий фактор</w:t>
            </w:r>
          </w:p>
        </w:tc>
        <w:tc>
          <w:tcPr>
            <w:tcW w:w="1931" w:type="pct"/>
          </w:tcPr>
          <w:p>
            <w:pPr>
              <w:shd w:val="clear" w:color="auto" w:fill="FFFFFF" w:themeFill="background1"/>
              <w:suppressAutoHyphens/>
              <w:spacing w:after="0" w:line="240" w:lineRule="auto"/>
              <w:jc w:val="center"/>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258" w:type="pct"/>
          </w:tcPr>
          <w:p>
            <w:pPr>
              <w:shd w:val="clear" w:color="auto" w:fill="FFFFFF" w:themeFill="background1"/>
              <w:suppressAutoHyphens/>
              <w:spacing w:after="0" w:line="240" w:lineRule="auto"/>
              <w:jc w:val="center"/>
              <w:rPr>
                <w:rFonts w:hint="default" w:ascii="Gotham Pro" w:hAnsi="Gotham Pro" w:eastAsia="Times New Roman" w:cs="Gotham Pro"/>
                <w:sz w:val="20"/>
                <w:szCs w:val="20"/>
                <w:lang w:val="ru-RU" w:eastAsia="ar-SA"/>
              </w:rPr>
            </w:pPr>
            <w:r>
              <w:rPr>
                <w:rFonts w:hint="default" w:ascii="Gotham Pro" w:hAnsi="Gotham Pro" w:eastAsia="Times New Roman" w:cs="Gotham Pro"/>
                <w:sz w:val="20"/>
                <w:szCs w:val="20"/>
                <w:lang w:val="ru-RU" w:eastAsia="ar-SA"/>
              </w:rPr>
              <w:t>1</w:t>
            </w:r>
          </w:p>
        </w:tc>
        <w:tc>
          <w:tcPr>
            <w:tcW w:w="1810" w:type="pct"/>
          </w:tcPr>
          <w:p>
            <w:pPr>
              <w:shd w:val="clear" w:color="auto" w:fill="FFFFFF" w:themeFill="background1"/>
              <w:suppressAutoHyphens/>
              <w:spacing w:after="0" w:line="240" w:lineRule="auto"/>
              <w:jc w:val="center"/>
              <w:rPr>
                <w:rFonts w:hint="default" w:ascii="Gotham Pro" w:hAnsi="Gotham Pro" w:eastAsia="Times New Roman" w:cs="Gotham Pro"/>
                <w:sz w:val="20"/>
                <w:szCs w:val="20"/>
                <w:lang w:val="ru-RU" w:eastAsia="ar-SA"/>
              </w:rPr>
            </w:pPr>
            <w:r>
              <w:rPr>
                <w:rFonts w:hint="default" w:ascii="Gotham Pro" w:hAnsi="Gotham Pro" w:eastAsia="Times New Roman" w:cs="Gotham Pro"/>
                <w:sz w:val="20"/>
                <w:szCs w:val="20"/>
                <w:lang w:val="ru-RU" w:eastAsia="ar-SA"/>
              </w:rPr>
              <w:t>2</w:t>
            </w:r>
          </w:p>
        </w:tc>
        <w:tc>
          <w:tcPr>
            <w:tcW w:w="1931" w:type="pct"/>
          </w:tcPr>
          <w:p>
            <w:pPr>
              <w:shd w:val="clear" w:color="auto" w:fill="FFFFFF" w:themeFill="background1"/>
              <w:suppressAutoHyphens/>
              <w:spacing w:after="0" w:line="240" w:lineRule="auto"/>
              <w:jc w:val="center"/>
              <w:rPr>
                <w:rFonts w:hint="default" w:ascii="Gotham Pro" w:hAnsi="Gotham Pro" w:eastAsia="Times New Roman" w:cs="Gotham Pro"/>
                <w:sz w:val="20"/>
                <w:szCs w:val="20"/>
                <w:lang w:val="ru-RU" w:eastAsia="ar-SA"/>
              </w:rPr>
            </w:pPr>
            <w:r>
              <w:rPr>
                <w:rFonts w:hint="default" w:ascii="Gotham Pro" w:hAnsi="Gotham Pro" w:eastAsia="Times New Roman"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258" w:type="pct"/>
          </w:tcPr>
          <w:p>
            <w:pPr>
              <w:shd w:val="clear" w:color="auto" w:fill="FFFFFF" w:themeFill="background1"/>
              <w:suppressAutoHyphens/>
              <w:spacing w:after="0" w:line="240" w:lineRule="auto"/>
              <w:jc w:val="both"/>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Затопление и подтопление</w:t>
            </w:r>
          </w:p>
        </w:tc>
        <w:tc>
          <w:tcPr>
            <w:tcW w:w="1810" w:type="pct"/>
          </w:tcPr>
          <w:p>
            <w:pPr>
              <w:shd w:val="clear" w:color="auto" w:fill="FFFFFF" w:themeFill="background1"/>
              <w:suppressAutoHyphens/>
              <w:spacing w:after="0" w:line="240" w:lineRule="auto"/>
              <w:ind w:firstLine="567"/>
              <w:jc w:val="both"/>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Стремительный поток огромной массы воды, высокие волны, водовороты, низкая температура воды, воздействие электрического тока, перебои в функционировании объекта</w:t>
            </w:r>
          </w:p>
        </w:tc>
        <w:tc>
          <w:tcPr>
            <w:tcW w:w="1931" w:type="pct"/>
          </w:tcPr>
          <w:p>
            <w:pPr>
              <w:shd w:val="clear" w:color="auto" w:fill="FFFFFF" w:themeFill="background1"/>
              <w:suppressAutoHyphens/>
              <w:spacing w:after="0" w:line="240" w:lineRule="auto"/>
              <w:jc w:val="both"/>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Травматизм и гибель людей,</w:t>
            </w:r>
          </w:p>
          <w:p>
            <w:pPr>
              <w:shd w:val="clear" w:color="auto" w:fill="FFFFFF" w:themeFill="background1"/>
              <w:suppressAutoHyphens/>
              <w:spacing w:after="0" w:line="240" w:lineRule="auto"/>
              <w:jc w:val="both"/>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 xml:space="preserve"> нарушение систем жизнеобеспечения населения и предприятий, </w:t>
            </w:r>
          </w:p>
          <w:p>
            <w:pPr>
              <w:shd w:val="clear" w:color="auto" w:fill="FFFFFF" w:themeFill="background1"/>
              <w:suppressAutoHyphens/>
              <w:spacing w:after="0" w:line="240" w:lineRule="auto"/>
              <w:jc w:val="both"/>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загрязнение окружающей среды,</w:t>
            </w:r>
          </w:p>
          <w:p>
            <w:pPr>
              <w:shd w:val="clear" w:color="auto" w:fill="FFFFFF" w:themeFill="background1"/>
              <w:suppressAutoHyphens/>
              <w:spacing w:after="0" w:line="240" w:lineRule="auto"/>
              <w:jc w:val="both"/>
              <w:rPr>
                <w:rFonts w:hint="default" w:ascii="Gotham Pro" w:hAnsi="Gotham Pro" w:eastAsia="Times New Roman" w:cs="Gotham Pro"/>
                <w:sz w:val="20"/>
                <w:szCs w:val="20"/>
                <w:lang w:eastAsia="ar-SA"/>
              </w:rPr>
            </w:pPr>
            <w:r>
              <w:rPr>
                <w:rFonts w:hint="default" w:ascii="Gotham Pro" w:hAnsi="Gotham Pro" w:eastAsia="Times New Roman" w:cs="Gotham Pro"/>
                <w:sz w:val="20"/>
                <w:szCs w:val="20"/>
                <w:lang w:eastAsia="ar-SA"/>
              </w:rPr>
              <w:t xml:space="preserve"> ущерб объектам, распространение болезней, травматизм и гибель сельскохозяйственных животных</w:t>
            </w:r>
          </w:p>
        </w:tc>
      </w:tr>
    </w:tbl>
    <w:p>
      <w:pPr>
        <w:widowControl w:val="0"/>
        <w:shd w:val="clear" w:fill="FFFFFF" w:themeFill="background1"/>
        <w:autoSpaceDE w:val="0"/>
        <w:autoSpaceDN w:val="0"/>
        <w:spacing w:after="0"/>
        <w:ind w:firstLine="567"/>
        <w:jc w:val="both"/>
        <w:rPr>
          <w:rFonts w:ascii="Times New Roman" w:hAnsi="Times New Roman" w:eastAsia="Calibri" w:cs="Times New Roman"/>
          <w:sz w:val="28"/>
          <w:szCs w:val="28"/>
          <w:lang w:eastAsia="en-US"/>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eastAsia="Times New Roman" w:cs="Gotham Pro"/>
          <w:b/>
          <w:bCs/>
          <w:sz w:val="24"/>
          <w:szCs w:val="24"/>
        </w:rPr>
      </w:pPr>
      <w:bookmarkStart w:id="34" w:name="_Toc261345809"/>
      <w:bookmarkStart w:id="35" w:name="_Toc193265605"/>
      <w:bookmarkStart w:id="36" w:name="_Toc193008697"/>
      <w:bookmarkStart w:id="37" w:name="_Toc277584059"/>
      <w:bookmarkStart w:id="38" w:name="_Toc372150100"/>
      <w:r>
        <w:rPr>
          <w:rFonts w:hint="default" w:ascii="Gotham Pro" w:hAnsi="Gotham Pro" w:eastAsia="Times New Roman" w:cs="Gotham Pro"/>
          <w:b/>
          <w:bCs/>
          <w:sz w:val="24"/>
          <w:szCs w:val="24"/>
        </w:rPr>
        <w:t>Опасные метеорологические явления</w:t>
      </w:r>
      <w:bookmarkEnd w:id="34"/>
      <w:bookmarkEnd w:id="35"/>
      <w:bookmarkEnd w:id="36"/>
      <w:bookmarkEnd w:id="37"/>
      <w:bookmarkEnd w:id="38"/>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iCs/>
          <w:sz w:val="24"/>
          <w:szCs w:val="24"/>
        </w:rPr>
        <w:t>Опасные метеорологические явления</w:t>
      </w:r>
      <w:r>
        <w:rPr>
          <w:rFonts w:hint="default" w:ascii="Gotham Pro" w:hAnsi="Gotham Pro" w:cs="Gotham Pro"/>
          <w:sz w:val="24"/>
          <w:szCs w:val="24"/>
        </w:rPr>
        <w:t xml:space="preserve"> – природные процессы и явления, возникающие в атмосфере под действием различных природных факторов или их сочетаний, оказывающие или могущие оказать поражающее воздействие на людей, сельскохозяйственных животных и растения, объекты экономики и окружающую природную среду.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На территории МО СП «Сосново-Озерское» к опасным метеорологическим явлениям относятся сильные ветры, сильные морозы, обилие атмосферных осадков.</w:t>
      </w: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 при сильных ветрах</w:t>
      </w:r>
    </w:p>
    <w:p>
      <w:pPr>
        <w:pStyle w:val="11"/>
        <w:bidi w:val="0"/>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w:t>
      </w:r>
      <w:r>
        <w:rPr>
          <w:rFonts w:hint="default" w:ascii="Gotham Pro" w:hAnsi="Gotham Pro" w:cs="Gotham Pro"/>
          <w:sz w:val="20"/>
          <w:szCs w:val="20"/>
          <w:lang w:val="ru-RU" w:eastAsia="ar-SA"/>
        </w:rPr>
        <w:t>3.</w:t>
      </w:r>
      <w:r>
        <w:rPr>
          <w:rFonts w:hint="default" w:ascii="Gotham Pro" w:hAnsi="Gotham Pro" w:cs="Gotham Pro"/>
          <w:sz w:val="20"/>
          <w:szCs w:val="20"/>
          <w:lang w:eastAsia="ar-SA"/>
        </w:rPr>
        <w:t>-3</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57"/>
        <w:gridCol w:w="3048"/>
        <w:gridCol w:w="494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0" w:hRule="atLeast"/>
        </w:trPr>
        <w:tc>
          <w:tcPr>
            <w:tcW w:w="901"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563"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2534"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2" w:hRule="atLeast"/>
        </w:trPr>
        <w:tc>
          <w:tcPr>
            <w:tcW w:w="901"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563"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2534"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274" w:hRule="atLeast"/>
        </w:trPr>
        <w:tc>
          <w:tcPr>
            <w:tcW w:w="901"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Сильные ветры (бури, ураганы, смерчи)</w:t>
            </w:r>
          </w:p>
        </w:tc>
        <w:tc>
          <w:tcPr>
            <w:tcW w:w="1563"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Аэродинамический: скоростной напор воздушного потока, ветровая нагрузка, аэродинамическое давление, вибрация</w:t>
            </w:r>
          </w:p>
        </w:tc>
        <w:tc>
          <w:tcPr>
            <w:tcW w:w="2534" w:type="pct"/>
          </w:tcPr>
          <w:p>
            <w:pPr>
              <w:pStyle w:val="11"/>
              <w:bidi w:val="0"/>
              <w:jc w:val="both"/>
              <w:rPr>
                <w:rFonts w:hint="default" w:ascii="Gotham Pro" w:hAnsi="Gotham Pro" w:cs="Gotham Pro"/>
                <w:sz w:val="20"/>
                <w:szCs w:val="20"/>
                <w:lang w:eastAsia="ar-SA"/>
              </w:rPr>
            </w:pPr>
            <w:r>
              <w:rPr>
                <w:rFonts w:hint="default" w:ascii="Gotham Pro" w:hAnsi="Gotham Pro" w:cs="Gotham Pro"/>
                <w:sz w:val="20"/>
                <w:szCs w:val="20"/>
                <w:lang w:eastAsia="ar-SA"/>
              </w:rPr>
              <w:t>Повреждение зданий, сооружений (кровля, отдельные конструктивные элементы),оборудования;обрыв проводов электроснабжения,радио и телефонной связи; опрокидывание некапитальных объектов, малых архитектурных форм, травматизм и гибель людей,нарушение систем жизнеобеспечения населения и предприятий, загрязнение окружающей среды</w:t>
            </w:r>
          </w:p>
        </w:tc>
      </w:tr>
    </w:tbl>
    <w:p>
      <w:pPr>
        <w:pStyle w:val="11"/>
        <w:bidi w:val="0"/>
        <w:jc w:val="center"/>
        <w:rPr>
          <w:rFonts w:hint="default" w:ascii="Gotham Pro" w:hAnsi="Gotham Pro" w:cs="Gotham Pro"/>
          <w:sz w:val="20"/>
          <w:szCs w:val="20"/>
        </w:rPr>
      </w:pP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w:t>
      </w:r>
      <w:r>
        <w:rPr>
          <w:rFonts w:hint="default" w:ascii="Gotham Pro" w:hAnsi="Gotham Pro" w:cs="Gotham Pro"/>
          <w:sz w:val="20"/>
          <w:szCs w:val="20"/>
          <w:lang w:val="ru-RU" w:eastAsia="ar-SA"/>
        </w:rPr>
        <w:t xml:space="preserve"> </w:t>
      </w:r>
      <w:r>
        <w:rPr>
          <w:rFonts w:hint="default" w:ascii="Gotham Pro" w:hAnsi="Gotham Pro" w:cs="Gotham Pro"/>
          <w:sz w:val="20"/>
          <w:szCs w:val="20"/>
          <w:lang w:eastAsia="ar-SA"/>
        </w:rPr>
        <w:t>при сильных морозах</w:t>
      </w:r>
    </w:p>
    <w:p>
      <w:pPr>
        <w:pStyle w:val="11"/>
        <w:bidi w:val="0"/>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w:t>
      </w:r>
      <w:r>
        <w:rPr>
          <w:rFonts w:hint="default" w:ascii="Gotham Pro" w:hAnsi="Gotham Pro" w:cs="Gotham Pro"/>
          <w:sz w:val="20"/>
          <w:szCs w:val="20"/>
          <w:lang w:val="ru-RU" w:eastAsia="ar-SA"/>
        </w:rPr>
        <w:t>3.</w:t>
      </w:r>
      <w:r>
        <w:rPr>
          <w:rFonts w:hint="default" w:ascii="Gotham Pro" w:hAnsi="Gotham Pro" w:cs="Gotham Pro"/>
          <w:sz w:val="20"/>
          <w:szCs w:val="20"/>
          <w:lang w:eastAsia="ar-SA"/>
        </w:rPr>
        <w:t>-4</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37"/>
        <w:gridCol w:w="3040"/>
        <w:gridCol w:w="496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0" w:hRule="atLeast"/>
        </w:trPr>
        <w:tc>
          <w:tcPr>
            <w:tcW w:w="891"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560"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2549"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92" w:hRule="atLeast"/>
        </w:trPr>
        <w:tc>
          <w:tcPr>
            <w:tcW w:w="891"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560"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2549"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91" w:hRule="atLeast"/>
        </w:trPr>
        <w:tc>
          <w:tcPr>
            <w:tcW w:w="891"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Сильные морозы</w:t>
            </w:r>
          </w:p>
        </w:tc>
        <w:tc>
          <w:tcPr>
            <w:tcW w:w="1560"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Продолжительные низкие температуры</w:t>
            </w:r>
          </w:p>
        </w:tc>
        <w:tc>
          <w:tcPr>
            <w:tcW w:w="2549" w:type="pct"/>
          </w:tcPr>
          <w:p>
            <w:pPr>
              <w:pStyle w:val="11"/>
              <w:bidi w:val="0"/>
              <w:jc w:val="both"/>
              <w:rPr>
                <w:rFonts w:hint="default" w:ascii="Gotham Pro" w:hAnsi="Gotham Pro" w:cs="Gotham Pro"/>
                <w:sz w:val="20"/>
                <w:szCs w:val="20"/>
                <w:lang w:eastAsia="ar-SA"/>
              </w:rPr>
            </w:pPr>
            <w:r>
              <w:rPr>
                <w:rFonts w:hint="default" w:ascii="Gotham Pro" w:hAnsi="Gotham Pro" w:cs="Gotham Pro"/>
                <w:sz w:val="20"/>
                <w:szCs w:val="20"/>
                <w:lang w:eastAsia="ar-SA"/>
              </w:rPr>
              <w:t>возможность обморожения людей, домашних и сельскохозяйственных животных;</w:t>
            </w:r>
          </w:p>
          <w:p>
            <w:pPr>
              <w:pStyle w:val="11"/>
              <w:bidi w:val="0"/>
              <w:jc w:val="both"/>
              <w:rPr>
                <w:rFonts w:hint="default" w:ascii="Gotham Pro" w:hAnsi="Gotham Pro" w:cs="Gotham Pro"/>
                <w:sz w:val="20"/>
                <w:szCs w:val="20"/>
                <w:lang w:eastAsia="ar-SA"/>
              </w:rPr>
            </w:pPr>
            <w:r>
              <w:rPr>
                <w:rFonts w:hint="default" w:ascii="Gotham Pro" w:hAnsi="Gotham Pro" w:cs="Gotham Pro"/>
                <w:sz w:val="20"/>
                <w:szCs w:val="20"/>
                <w:lang w:eastAsia="ar-SA"/>
              </w:rPr>
              <w:t>нарушения функционирования систем ЖКХ, электроэнергетики, аварийные остановки теплоснабжения, а также усугубление обстановки, связанной с бытовыми пожарами, в результате большего использования обогревательных приборов</w:t>
            </w:r>
          </w:p>
        </w:tc>
      </w:tr>
    </w:tbl>
    <w:p>
      <w:pPr>
        <w:pStyle w:val="11"/>
        <w:bidi w:val="0"/>
        <w:jc w:val="center"/>
        <w:rPr>
          <w:rFonts w:hint="default" w:ascii="Gotham Pro" w:hAnsi="Gotham Pro" w:cs="Gotham Pro"/>
          <w:sz w:val="20"/>
          <w:szCs w:val="20"/>
        </w:rPr>
      </w:pPr>
    </w:p>
    <w:p>
      <w:pPr>
        <w:pStyle w:val="11"/>
        <w:bidi w:val="0"/>
        <w:jc w:val="center"/>
        <w:rPr>
          <w:rFonts w:hint="default" w:ascii="Gotham Pro" w:hAnsi="Gotham Pro" w:cs="Gotham Pro"/>
          <w:sz w:val="20"/>
          <w:szCs w:val="20"/>
          <w:lang w:eastAsia="ar-SA"/>
        </w:rPr>
      </w:pP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 при обилии атмосферных осадков</w:t>
      </w:r>
    </w:p>
    <w:p>
      <w:pPr>
        <w:pStyle w:val="11"/>
        <w:bidi w:val="0"/>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w:t>
      </w:r>
      <w:r>
        <w:rPr>
          <w:rFonts w:hint="default" w:ascii="Gotham Pro" w:hAnsi="Gotham Pro" w:cs="Gotham Pro"/>
          <w:sz w:val="20"/>
          <w:szCs w:val="20"/>
          <w:lang w:val="ru-RU" w:eastAsia="ar-SA"/>
        </w:rPr>
        <w:t>3.</w:t>
      </w:r>
      <w:r>
        <w:rPr>
          <w:rFonts w:hint="default" w:ascii="Gotham Pro" w:hAnsi="Gotham Pro" w:cs="Gotham Pro"/>
          <w:sz w:val="20"/>
          <w:szCs w:val="20"/>
          <w:lang w:eastAsia="ar-SA"/>
        </w:rPr>
        <w:t>-5</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737"/>
        <w:gridCol w:w="3080"/>
        <w:gridCol w:w="492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0" w:hRule="atLeast"/>
        </w:trPr>
        <w:tc>
          <w:tcPr>
            <w:tcW w:w="891"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580"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2528"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891"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580"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2528" w:type="pct"/>
          </w:tcPr>
          <w:p>
            <w:pPr>
              <w:pStyle w:val="11"/>
              <w:bidi w:val="0"/>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629" w:hRule="atLeast"/>
        </w:trPr>
        <w:tc>
          <w:tcPr>
            <w:tcW w:w="891"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Обильные дожди, снегопады, град</w:t>
            </w:r>
          </w:p>
        </w:tc>
        <w:tc>
          <w:tcPr>
            <w:tcW w:w="1580" w:type="pct"/>
          </w:tcPr>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Гидродинамический: потоки воды, снеговая нагрузка, снежные заносы;</w:t>
            </w: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Динамический: удар (град);</w:t>
            </w:r>
          </w:p>
          <w:p>
            <w:pPr>
              <w:pStyle w:val="11"/>
              <w:bidi w:val="0"/>
              <w:jc w:val="center"/>
              <w:rPr>
                <w:rFonts w:hint="default" w:ascii="Gotham Pro" w:hAnsi="Gotham Pro" w:cs="Gotham Pro"/>
                <w:sz w:val="20"/>
                <w:szCs w:val="20"/>
                <w:lang w:eastAsia="ar-SA"/>
              </w:rPr>
            </w:pPr>
            <w:r>
              <w:rPr>
                <w:rFonts w:hint="default" w:ascii="Gotham Pro" w:hAnsi="Gotham Pro" w:cs="Gotham Pro"/>
                <w:sz w:val="20"/>
                <w:szCs w:val="20"/>
                <w:lang w:eastAsia="ar-SA"/>
              </w:rPr>
              <w:t>Тепловой: понижение температуры</w:t>
            </w:r>
          </w:p>
        </w:tc>
        <w:tc>
          <w:tcPr>
            <w:tcW w:w="2528" w:type="pct"/>
          </w:tcPr>
          <w:p>
            <w:pPr>
              <w:pStyle w:val="11"/>
              <w:bidi w:val="0"/>
              <w:jc w:val="both"/>
              <w:rPr>
                <w:rFonts w:hint="default" w:ascii="Gotham Pro" w:hAnsi="Gotham Pro" w:cs="Gotham Pro"/>
                <w:sz w:val="20"/>
                <w:szCs w:val="20"/>
                <w:lang w:eastAsia="ar-SA"/>
              </w:rPr>
            </w:pPr>
            <w:r>
              <w:rPr>
                <w:rFonts w:hint="default" w:ascii="Gotham Pro" w:hAnsi="Gotham Pro" w:cs="Gotham Pro"/>
                <w:sz w:val="20"/>
                <w:szCs w:val="20"/>
                <w:lang w:eastAsia="ar-SA"/>
              </w:rPr>
              <w:t>Потоки воды, затопление и подтопление зданий и сооружений, налипание снега на линии электропередачи, теле-радиосвязи с последующим обрывом;парализующее воздействие на транспортную инфраструктуру;</w:t>
            </w:r>
          </w:p>
          <w:p>
            <w:pPr>
              <w:pStyle w:val="11"/>
              <w:bidi w:val="0"/>
              <w:jc w:val="both"/>
              <w:rPr>
                <w:rFonts w:hint="default" w:ascii="Gotham Pro" w:hAnsi="Gotham Pro" w:cs="Gotham Pro"/>
                <w:sz w:val="20"/>
                <w:szCs w:val="20"/>
                <w:lang w:eastAsia="ar-SA"/>
              </w:rPr>
            </w:pPr>
            <w:r>
              <w:rPr>
                <w:rFonts w:hint="default" w:ascii="Gotham Pro" w:hAnsi="Gotham Pro" w:cs="Gotham Pro"/>
                <w:sz w:val="20"/>
                <w:szCs w:val="20"/>
                <w:lang w:eastAsia="ar-SA"/>
              </w:rPr>
              <w:t>создание аварийной обстановки на дорогах; травматизм и гибель людей,нарушение систем жизнеобеспечения населения и предприятий,загрязнение окружающей среды, травматизм и гибель сельскохозяйственных животных.</w:t>
            </w:r>
          </w:p>
        </w:tc>
      </w:tr>
    </w:tbl>
    <w:p>
      <w:pPr>
        <w:pStyle w:val="11"/>
        <w:spacing w:line="276" w:lineRule="auto"/>
        <w:ind w:firstLine="567"/>
        <w:jc w:val="both"/>
        <w:rPr>
          <w:rFonts w:ascii="Times New Roman" w:hAnsi="Times New Roman" w:cs="Times New Roman"/>
          <w:b/>
          <w:bCs/>
          <w:sz w:val="28"/>
          <w:szCs w:val="28"/>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b/>
          <w:bCs/>
          <w:sz w:val="24"/>
          <w:szCs w:val="24"/>
        </w:rPr>
      </w:pPr>
      <w:r>
        <w:rPr>
          <w:rFonts w:hint="default" w:ascii="Gotham Pro" w:hAnsi="Gotham Pro" w:cs="Gotham Pro"/>
          <w:b/>
          <w:bCs/>
          <w:sz w:val="24"/>
          <w:szCs w:val="24"/>
        </w:rPr>
        <w:t>Природные пожары</w:t>
      </w:r>
    </w:p>
    <w:p>
      <w:pPr>
        <w:keepNext w:val="0"/>
        <w:keepLines w:val="0"/>
        <w:pageBreakBefore w:val="0"/>
        <w:widowControl/>
        <w:suppressAutoHyphens/>
        <w:kinsoku/>
        <w:wordWrap/>
        <w:overflowPunct/>
        <w:topLinePunct w:val="0"/>
        <w:autoSpaceDE/>
        <w:autoSpaceDN/>
        <w:bidi w:val="0"/>
        <w:adjustRightInd/>
        <w:snapToGrid/>
        <w:spacing w:after="0" w:line="300" w:lineRule="auto"/>
        <w:ind w:firstLine="567"/>
        <w:jc w:val="both"/>
        <w:textAlignment w:val="auto"/>
        <w:rPr>
          <w:rFonts w:hint="default" w:ascii="Gotham Pro" w:hAnsi="Gotham Pro" w:cs="Gotham Pro"/>
          <w:sz w:val="24"/>
          <w:szCs w:val="24"/>
          <w:shd w:val="clear" w:color="auto" w:fill="FFFFFF"/>
        </w:rPr>
      </w:pPr>
      <w:r>
        <w:rPr>
          <w:rFonts w:hint="default" w:ascii="Gotham Pro" w:hAnsi="Gotham Pro" w:eastAsia="Times New Roman" w:cs="Gotham Pro"/>
          <w:sz w:val="24"/>
          <w:szCs w:val="24"/>
          <w:lang w:eastAsia="ar-SA"/>
        </w:rPr>
        <w:t xml:space="preserve">Согласно информации Республиканского агентства гражданской обороны и чрезвычайных ситуаций от 07.07.2023 № 75-01-33-и1507-23 в </w:t>
      </w:r>
      <w:r>
        <w:rPr>
          <w:rFonts w:hint="default" w:ascii="Gotham Pro" w:hAnsi="Gotham Pro" w:cs="Gotham Pro"/>
          <w:sz w:val="24"/>
          <w:szCs w:val="24"/>
          <w:shd w:val="clear" w:color="auto" w:fill="FFFFFF"/>
        </w:rPr>
        <w:t xml:space="preserve">Перечне населенных пунктов, подверженных угрозе лесных пожаров и других ландшафтных (природных) пожаров, территорий организаций отдыха детей и их оздоровления, территорий садоводства или огородничества, подверженных угрозе лесных пожаров, расположенных на </w:t>
      </w:r>
    </w:p>
    <w:p>
      <w:pPr>
        <w:keepNext w:val="0"/>
        <w:keepLines w:val="0"/>
        <w:pageBreakBefore w:val="0"/>
        <w:widowControl/>
        <w:suppressAutoHyphens/>
        <w:kinsoku/>
        <w:wordWrap/>
        <w:overflowPunct/>
        <w:topLinePunct w:val="0"/>
        <w:autoSpaceDE/>
        <w:autoSpaceDN/>
        <w:bidi w:val="0"/>
        <w:adjustRightInd/>
        <w:snapToGrid/>
        <w:spacing w:after="0" w:line="300" w:lineRule="auto"/>
        <w:ind w:firstLine="567"/>
        <w:jc w:val="both"/>
        <w:textAlignment w:val="auto"/>
        <w:rPr>
          <w:rFonts w:hint="default" w:ascii="Gotham Pro" w:hAnsi="Gotham Pro" w:cs="Gotham Pro"/>
          <w:sz w:val="24"/>
          <w:szCs w:val="24"/>
          <w:shd w:val="clear" w:color="auto" w:fill="FFFFFF"/>
        </w:rPr>
      </w:pPr>
    </w:p>
    <w:p>
      <w:pPr>
        <w:keepNext w:val="0"/>
        <w:keepLines w:val="0"/>
        <w:pageBreakBefore w:val="0"/>
        <w:widowControl/>
        <w:suppressAutoHyphens/>
        <w:kinsoku/>
        <w:wordWrap/>
        <w:overflowPunct/>
        <w:topLinePunct w:val="0"/>
        <w:autoSpaceDE/>
        <w:autoSpaceDN/>
        <w:bidi w:val="0"/>
        <w:adjustRightInd/>
        <w:snapToGrid/>
        <w:spacing w:after="0" w:line="300" w:lineRule="auto"/>
        <w:ind w:firstLine="567"/>
        <w:jc w:val="both"/>
        <w:textAlignment w:val="auto"/>
        <w:rPr>
          <w:rFonts w:hint="default" w:ascii="Gotham Pro" w:hAnsi="Gotham Pro" w:cs="Gotham Pro"/>
          <w:sz w:val="24"/>
          <w:szCs w:val="24"/>
          <w:shd w:val="clear" w:color="auto" w:fill="FFFFFF"/>
        </w:rPr>
      </w:pPr>
    </w:p>
    <w:p>
      <w:pPr>
        <w:keepNext w:val="0"/>
        <w:keepLines w:val="0"/>
        <w:pageBreakBefore w:val="0"/>
        <w:widowControl/>
        <w:suppressAutoHyphens/>
        <w:kinsoku/>
        <w:wordWrap/>
        <w:overflowPunct/>
        <w:topLinePunct w:val="0"/>
        <w:autoSpaceDE/>
        <w:autoSpaceDN/>
        <w:bidi w:val="0"/>
        <w:adjustRightInd/>
        <w:snapToGrid/>
        <w:spacing w:after="0" w:line="300" w:lineRule="auto"/>
        <w:ind w:firstLine="567"/>
        <w:jc w:val="both"/>
        <w:textAlignment w:val="auto"/>
        <w:rPr>
          <w:rFonts w:hint="default" w:ascii="Gotham Pro" w:hAnsi="Gotham Pro" w:cs="Gotham Pro"/>
          <w:sz w:val="24"/>
          <w:szCs w:val="24"/>
          <w:shd w:val="clear" w:color="auto" w:fill="FFFFFF"/>
        </w:rPr>
      </w:pPr>
    </w:p>
    <w:p>
      <w:pPr>
        <w:keepNext w:val="0"/>
        <w:keepLines w:val="0"/>
        <w:pageBreakBefore w:val="0"/>
        <w:widowControl/>
        <w:suppressAutoHyphens/>
        <w:kinsoku/>
        <w:wordWrap/>
        <w:overflowPunct/>
        <w:topLinePunct w:val="0"/>
        <w:autoSpaceDE/>
        <w:autoSpaceDN/>
        <w:bidi w:val="0"/>
        <w:adjustRightInd/>
        <w:snapToGrid/>
        <w:spacing w:after="0" w:line="300" w:lineRule="auto"/>
        <w:jc w:val="both"/>
        <w:textAlignment w:val="auto"/>
        <w:rPr>
          <w:rStyle w:val="13"/>
          <w:rFonts w:hint="default" w:ascii="Gotham Pro" w:hAnsi="Gotham Pro" w:cs="Gotham Pro"/>
          <w:sz w:val="24"/>
          <w:szCs w:val="24"/>
        </w:rPr>
      </w:pPr>
      <w:r>
        <w:rPr>
          <w:rFonts w:hint="default" w:ascii="Gotham Pro" w:hAnsi="Gotham Pro" w:cs="Gotham Pro"/>
          <w:sz w:val="24"/>
          <w:szCs w:val="24"/>
          <w:shd w:val="clear" w:color="auto" w:fill="FFFFFF"/>
        </w:rPr>
        <w:t xml:space="preserve">территории Республики Бурятия, утвержденном </w:t>
      </w:r>
      <w:r>
        <w:rPr>
          <w:rFonts w:hint="default" w:ascii="Gotham Pro" w:hAnsi="Gotham Pro" w:cs="Gotham Pro"/>
          <w:sz w:val="24"/>
          <w:szCs w:val="24"/>
        </w:rPr>
        <w:t xml:space="preserve">постановлением Правительства РБ от 01.04.2021 № 137, отсутствуют населенные пункты МО СП «Сосново-Озерское». Вместе с тем в Перечень включена 1 </w:t>
      </w:r>
      <w:r>
        <w:rPr>
          <w:rStyle w:val="13"/>
          <w:rFonts w:hint="default" w:ascii="Gotham Pro" w:hAnsi="Gotham Pro" w:cs="Gotham Pro"/>
          <w:sz w:val="24"/>
          <w:szCs w:val="24"/>
        </w:rPr>
        <w:t>организация отдыха детей и их оздоровления, подверженная угрозе лесных пожаров - МБОУ ДО «ЦДТ» «Яндола», местность Индола 615 км, с. Сосново-Озерское (таблица 8.2.</w:t>
      </w:r>
      <w:r>
        <w:rPr>
          <w:rStyle w:val="13"/>
          <w:rFonts w:hint="default" w:ascii="Gotham Pro" w:hAnsi="Gotham Pro" w:cs="Gotham Pro"/>
          <w:sz w:val="24"/>
          <w:szCs w:val="24"/>
          <w:lang w:val="en-US"/>
        </w:rPr>
        <w:t>3.</w:t>
      </w:r>
      <w:r>
        <w:rPr>
          <w:rStyle w:val="13"/>
          <w:rFonts w:hint="default" w:ascii="Gotham Pro" w:hAnsi="Gotham Pro" w:cs="Gotham Pro"/>
          <w:sz w:val="24"/>
          <w:szCs w:val="24"/>
        </w:rPr>
        <w:t xml:space="preserve">-6). </w:t>
      </w:r>
    </w:p>
    <w:p>
      <w:pPr>
        <w:pStyle w:val="11"/>
        <w:spacing w:line="276" w:lineRule="auto"/>
        <w:ind w:firstLine="567"/>
        <w:jc w:val="center"/>
        <w:rPr>
          <w:rFonts w:hint="default" w:ascii="Gotham Pro" w:hAnsi="Gotham Pro" w:cs="Gotham Pro"/>
          <w:sz w:val="20"/>
          <w:szCs w:val="20"/>
          <w:shd w:val="clear" w:color="auto" w:fill="FFFFFF"/>
        </w:rPr>
      </w:pP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 xml:space="preserve">Перечень населенных пунктов, </w:t>
      </w: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подверженных угрозе лесных пожаров</w:t>
      </w: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 xml:space="preserve"> и других ландшафтных (природных) пожаров, </w:t>
      </w: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 xml:space="preserve"> территорий организаций отдыха детей и их оздоровления, </w:t>
      </w: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 xml:space="preserve">территорий садоводства или огородничества, </w:t>
      </w: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 xml:space="preserve">подверженных угрозе лесных пожаров, </w:t>
      </w:r>
    </w:p>
    <w:p>
      <w:pPr>
        <w:pStyle w:val="11"/>
        <w:spacing w:line="276" w:lineRule="auto"/>
        <w:ind w:firstLine="567"/>
        <w:jc w:val="center"/>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расположенных на территории Еравнинского района</w:t>
      </w:r>
    </w:p>
    <w:p>
      <w:pPr>
        <w:pStyle w:val="11"/>
        <w:spacing w:line="276" w:lineRule="auto"/>
        <w:ind w:firstLine="567"/>
        <w:jc w:val="right"/>
        <w:rPr>
          <w:rFonts w:hint="default" w:ascii="Gotham Pro" w:hAnsi="Gotham Pro" w:cs="Gotham Pro"/>
          <w:sz w:val="20"/>
          <w:szCs w:val="20"/>
          <w:shd w:val="clear" w:color="auto" w:fill="FFFFFF"/>
        </w:rPr>
      </w:pPr>
      <w:r>
        <w:rPr>
          <w:rFonts w:hint="default" w:ascii="Gotham Pro" w:hAnsi="Gotham Pro" w:cs="Gotham Pro"/>
          <w:sz w:val="20"/>
          <w:szCs w:val="20"/>
          <w:shd w:val="clear" w:color="auto" w:fill="FFFFFF"/>
        </w:rPr>
        <w:t>таблица 8.2.</w:t>
      </w:r>
      <w:r>
        <w:rPr>
          <w:rFonts w:hint="default" w:ascii="Gotham Pro" w:hAnsi="Gotham Pro" w:cs="Gotham Pro"/>
          <w:sz w:val="20"/>
          <w:szCs w:val="20"/>
          <w:shd w:val="clear" w:color="auto" w:fill="FFFFFF"/>
          <w:lang w:val="ru-RU"/>
        </w:rPr>
        <w:t>3.</w:t>
      </w:r>
      <w:r>
        <w:rPr>
          <w:rFonts w:hint="default" w:ascii="Gotham Pro" w:hAnsi="Gotham Pro" w:cs="Gotham Pro"/>
          <w:sz w:val="20"/>
          <w:szCs w:val="20"/>
          <w:shd w:val="clear" w:color="auto" w:fill="FFFFFF"/>
        </w:rPr>
        <w:t>-6</w:t>
      </w:r>
    </w:p>
    <w:tbl>
      <w:tblPr>
        <w:tblStyle w:val="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2"/>
        <w:gridCol w:w="1905"/>
        <w:gridCol w:w="3410"/>
        <w:gridCol w:w="54"/>
        <w:gridCol w:w="2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vMerge w:val="restart"/>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Наименование района</w:t>
            </w:r>
          </w:p>
        </w:tc>
        <w:tc>
          <w:tcPr>
            <w:tcW w:w="1905" w:type="dxa"/>
            <w:vMerge w:val="restart"/>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Количество пожаров (лесные/ландшафтные)</w:t>
            </w:r>
          </w:p>
        </w:tc>
        <w:tc>
          <w:tcPr>
            <w:tcW w:w="5529" w:type="dxa"/>
            <w:gridSpan w:val="3"/>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Наименование населенных пунктов, микрорайонов, кварталов, улиц, территорий организаций отдыха детей и их оздоровления, территорий садоводства или огородничества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vMerge w:val="continue"/>
          </w:tcPr>
          <w:p>
            <w:pPr>
              <w:pStyle w:val="11"/>
              <w:jc w:val="center"/>
              <w:rPr>
                <w:rFonts w:hint="default" w:ascii="Gotham Pro" w:hAnsi="Gotham Pro" w:cs="Gotham Pro"/>
                <w:sz w:val="20"/>
                <w:szCs w:val="20"/>
              </w:rPr>
            </w:pPr>
          </w:p>
        </w:tc>
        <w:tc>
          <w:tcPr>
            <w:tcW w:w="1905" w:type="dxa"/>
            <w:vMerge w:val="continue"/>
          </w:tcPr>
          <w:p>
            <w:pPr>
              <w:pStyle w:val="11"/>
              <w:jc w:val="center"/>
              <w:rPr>
                <w:rFonts w:hint="default" w:ascii="Gotham Pro" w:hAnsi="Gotham Pro" w:cs="Gotham Pro"/>
                <w:sz w:val="20"/>
                <w:szCs w:val="20"/>
              </w:rPr>
            </w:pPr>
          </w:p>
        </w:tc>
        <w:tc>
          <w:tcPr>
            <w:tcW w:w="3464" w:type="dxa"/>
            <w:gridSpan w:val="2"/>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Лесные пожары</w:t>
            </w:r>
          </w:p>
        </w:tc>
        <w:tc>
          <w:tcPr>
            <w:tcW w:w="2065" w:type="dxa"/>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Ландшафтные пожары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pPr>
              <w:pStyle w:val="11"/>
              <w:jc w:val="center"/>
              <w:rPr>
                <w:rFonts w:hint="default" w:ascii="Gotham Pro" w:hAnsi="Gotham Pro" w:cs="Gotham Pro"/>
                <w:sz w:val="20"/>
                <w:szCs w:val="20"/>
                <w:shd w:val="clear" w:color="auto" w:fill="FFFFFF"/>
                <w:lang w:val="ru-RU"/>
              </w:rPr>
            </w:pPr>
            <w:r>
              <w:rPr>
                <w:rFonts w:hint="default" w:ascii="Gotham Pro" w:hAnsi="Gotham Pro" w:cs="Gotham Pro"/>
                <w:sz w:val="20"/>
                <w:szCs w:val="20"/>
                <w:shd w:val="clear" w:color="auto" w:fill="FFFFFF"/>
                <w:lang w:val="ru-RU"/>
              </w:rPr>
              <w:t>1</w:t>
            </w:r>
          </w:p>
        </w:tc>
        <w:tc>
          <w:tcPr>
            <w:tcW w:w="1905" w:type="dxa"/>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2</w:t>
            </w:r>
          </w:p>
        </w:tc>
        <w:tc>
          <w:tcPr>
            <w:tcW w:w="3464" w:type="dxa"/>
            <w:gridSpan w:val="2"/>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3</w:t>
            </w:r>
          </w:p>
        </w:tc>
        <w:tc>
          <w:tcPr>
            <w:tcW w:w="2065" w:type="dxa"/>
          </w:tcPr>
          <w:p>
            <w:pPr>
              <w:pStyle w:val="11"/>
              <w:jc w:val="center"/>
              <w:rPr>
                <w:rFonts w:hint="default" w:ascii="Gotham Pro" w:hAnsi="Gotham Pro" w:cs="Gotham Pro"/>
                <w:sz w:val="20"/>
                <w:szCs w:val="20"/>
                <w:lang w:val="ru-RU"/>
              </w:rPr>
            </w:pPr>
            <w:r>
              <w:rPr>
                <w:rFonts w:hint="default" w:ascii="Gotham Pro" w:hAnsi="Gotham Pro" w:cs="Gotham Pro"/>
                <w:sz w:val="20"/>
                <w:szCs w:val="20"/>
                <w:lang w:val="ru-RU"/>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pPr>
              <w:pStyle w:val="11"/>
              <w:rPr>
                <w:rFonts w:hint="default" w:ascii="Gotham Pro" w:hAnsi="Gotham Pro" w:cs="Gotham Pro"/>
                <w:sz w:val="20"/>
                <w:szCs w:val="20"/>
              </w:rPr>
            </w:pPr>
            <w:r>
              <w:rPr>
                <w:rFonts w:hint="default" w:ascii="Gotham Pro" w:hAnsi="Gotham Pro" w:cs="Gotham Pro"/>
                <w:sz w:val="20"/>
                <w:szCs w:val="20"/>
                <w:shd w:val="clear" w:color="auto" w:fill="FFFFFF"/>
              </w:rPr>
              <w:t>Еравнинский район</w:t>
            </w:r>
          </w:p>
        </w:tc>
        <w:tc>
          <w:tcPr>
            <w:tcW w:w="1905" w:type="dxa"/>
          </w:tcPr>
          <w:p>
            <w:pPr>
              <w:pStyle w:val="11"/>
              <w:jc w:val="center"/>
              <w:rPr>
                <w:rFonts w:hint="default" w:ascii="Gotham Pro" w:hAnsi="Gotham Pro" w:cs="Gotham Pro"/>
                <w:sz w:val="20"/>
                <w:szCs w:val="20"/>
              </w:rPr>
            </w:pPr>
            <w:r>
              <w:rPr>
                <w:rFonts w:hint="default" w:ascii="Gotham Pro" w:hAnsi="Gotham Pro" w:cs="Gotham Pro"/>
                <w:sz w:val="20"/>
                <w:szCs w:val="20"/>
              </w:rPr>
              <w:t>6/0</w:t>
            </w:r>
          </w:p>
        </w:tc>
        <w:tc>
          <w:tcPr>
            <w:tcW w:w="3464" w:type="dxa"/>
            <w:gridSpan w:val="2"/>
          </w:tcPr>
          <w:p>
            <w:pPr>
              <w:pStyle w:val="11"/>
              <w:jc w:val="center"/>
              <w:rPr>
                <w:rFonts w:hint="default" w:ascii="Gotham Pro" w:hAnsi="Gotham Pro" w:cs="Gotham Pro"/>
                <w:sz w:val="20"/>
                <w:szCs w:val="20"/>
              </w:rPr>
            </w:pPr>
            <w:r>
              <w:rPr>
                <w:rFonts w:hint="default" w:ascii="Gotham Pro" w:hAnsi="Gotham Pro" w:cs="Gotham Pro"/>
                <w:sz w:val="20"/>
                <w:szCs w:val="20"/>
              </w:rPr>
              <w:t>п. Тужинка,</w:t>
            </w:r>
          </w:p>
          <w:p>
            <w:pPr>
              <w:pStyle w:val="11"/>
              <w:jc w:val="center"/>
              <w:rPr>
                <w:rFonts w:hint="default" w:ascii="Gotham Pro" w:hAnsi="Gotham Pro" w:cs="Gotham Pro"/>
                <w:sz w:val="20"/>
                <w:szCs w:val="20"/>
              </w:rPr>
            </w:pPr>
            <w:r>
              <w:rPr>
                <w:rFonts w:hint="default" w:ascii="Gotham Pro" w:hAnsi="Gotham Pro" w:cs="Gotham Pro"/>
                <w:sz w:val="20"/>
                <w:szCs w:val="20"/>
              </w:rPr>
              <w:t>п. Тулдун,</w:t>
            </w:r>
          </w:p>
          <w:p>
            <w:pPr>
              <w:pStyle w:val="11"/>
              <w:jc w:val="center"/>
              <w:rPr>
                <w:rFonts w:hint="default" w:ascii="Gotham Pro" w:hAnsi="Gotham Pro" w:cs="Gotham Pro"/>
                <w:sz w:val="20"/>
                <w:szCs w:val="20"/>
              </w:rPr>
            </w:pPr>
            <w:r>
              <w:rPr>
                <w:rFonts w:hint="default" w:ascii="Gotham Pro" w:hAnsi="Gotham Pro" w:cs="Gotham Pro"/>
                <w:sz w:val="20"/>
                <w:szCs w:val="20"/>
              </w:rPr>
              <w:t>п. Гунда,</w:t>
            </w:r>
          </w:p>
          <w:p>
            <w:pPr>
              <w:pStyle w:val="11"/>
              <w:jc w:val="center"/>
              <w:rPr>
                <w:rFonts w:hint="default" w:ascii="Gotham Pro" w:hAnsi="Gotham Pro" w:cs="Gotham Pro"/>
                <w:sz w:val="20"/>
                <w:szCs w:val="20"/>
              </w:rPr>
            </w:pPr>
            <w:r>
              <w:rPr>
                <w:rFonts w:hint="default" w:ascii="Gotham Pro" w:hAnsi="Gotham Pro" w:cs="Gotham Pro"/>
                <w:sz w:val="20"/>
                <w:szCs w:val="20"/>
              </w:rPr>
              <w:t>с. Телемба,</w:t>
            </w:r>
          </w:p>
          <w:p>
            <w:pPr>
              <w:pStyle w:val="11"/>
              <w:jc w:val="center"/>
              <w:rPr>
                <w:rFonts w:hint="default" w:ascii="Gotham Pro" w:hAnsi="Gotham Pro" w:cs="Gotham Pro"/>
                <w:sz w:val="20"/>
                <w:szCs w:val="20"/>
              </w:rPr>
            </w:pPr>
            <w:r>
              <w:rPr>
                <w:rFonts w:hint="default" w:ascii="Gotham Pro" w:hAnsi="Gotham Pro" w:cs="Gotham Pro"/>
                <w:sz w:val="20"/>
                <w:szCs w:val="20"/>
              </w:rPr>
              <w:t>п. Целинный,</w:t>
            </w:r>
          </w:p>
          <w:p>
            <w:pPr>
              <w:pStyle w:val="11"/>
              <w:jc w:val="center"/>
              <w:rPr>
                <w:rFonts w:hint="default" w:ascii="Gotham Pro" w:hAnsi="Gotham Pro" w:cs="Gotham Pro"/>
                <w:sz w:val="20"/>
                <w:szCs w:val="20"/>
              </w:rPr>
            </w:pPr>
            <w:r>
              <w:rPr>
                <w:rFonts w:hint="default" w:ascii="Gotham Pro" w:hAnsi="Gotham Pro" w:cs="Gotham Pro"/>
                <w:sz w:val="20"/>
                <w:szCs w:val="20"/>
              </w:rPr>
              <w:t>п. Озерный</w:t>
            </w:r>
          </w:p>
          <w:p>
            <w:pPr>
              <w:pStyle w:val="11"/>
              <w:jc w:val="center"/>
              <w:rPr>
                <w:rFonts w:hint="default" w:ascii="Gotham Pro" w:hAnsi="Gotham Pro" w:cs="Gotham Pro"/>
                <w:sz w:val="20"/>
                <w:szCs w:val="20"/>
              </w:rPr>
            </w:pPr>
          </w:p>
        </w:tc>
        <w:tc>
          <w:tcPr>
            <w:tcW w:w="2065" w:type="dxa"/>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6" w:type="dxa"/>
            <w:gridSpan w:val="5"/>
          </w:tcPr>
          <w:p>
            <w:pPr>
              <w:pStyle w:val="11"/>
              <w:jc w:val="center"/>
              <w:rPr>
                <w:rFonts w:hint="default" w:ascii="Gotham Pro" w:hAnsi="Gotham Pro" w:cs="Gotham Pro"/>
                <w:sz w:val="20"/>
                <w:szCs w:val="20"/>
              </w:rPr>
            </w:pPr>
            <w:r>
              <w:rPr>
                <w:rFonts w:hint="default" w:ascii="Gotham Pro" w:hAnsi="Gotham Pro" w:cs="Gotham Pro"/>
                <w:sz w:val="20"/>
                <w:szCs w:val="20"/>
                <w:shd w:val="clear" w:color="auto" w:fill="FFFFFF"/>
              </w:rPr>
              <w:t>Итого: на территории Еравнинского района Республики Бурятия - 6 населенных пунктов, подверженных угрозе лесных пожаров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72" w:type="dxa"/>
          </w:tcPr>
          <w:p>
            <w:pPr>
              <w:pStyle w:val="11"/>
              <w:rPr>
                <w:rFonts w:hint="default" w:ascii="Gotham Pro" w:hAnsi="Gotham Pro" w:cs="Gotham Pro"/>
                <w:sz w:val="20"/>
                <w:szCs w:val="20"/>
                <w:shd w:val="clear" w:color="auto" w:fill="FFFFFF"/>
              </w:rPr>
            </w:pPr>
          </w:p>
        </w:tc>
        <w:tc>
          <w:tcPr>
            <w:tcW w:w="1905" w:type="dxa"/>
          </w:tcPr>
          <w:p>
            <w:pPr>
              <w:pStyle w:val="11"/>
              <w:jc w:val="center"/>
              <w:rPr>
                <w:rFonts w:hint="default" w:ascii="Gotham Pro" w:hAnsi="Gotham Pro" w:cs="Gotham Pro"/>
                <w:b/>
                <w:sz w:val="20"/>
                <w:szCs w:val="20"/>
              </w:rPr>
            </w:pPr>
            <w:r>
              <w:rPr>
                <w:rFonts w:hint="default" w:ascii="Gotham Pro" w:hAnsi="Gotham Pro" w:cs="Gotham Pro"/>
                <w:b/>
                <w:sz w:val="20"/>
                <w:szCs w:val="20"/>
                <w:shd w:val="clear" w:color="auto" w:fill="FFFFFF"/>
              </w:rPr>
              <w:t>1/0</w:t>
            </w:r>
          </w:p>
        </w:tc>
        <w:tc>
          <w:tcPr>
            <w:tcW w:w="3410" w:type="dxa"/>
          </w:tcPr>
          <w:p>
            <w:pPr>
              <w:pStyle w:val="11"/>
              <w:jc w:val="center"/>
              <w:rPr>
                <w:rFonts w:hint="default" w:ascii="Gotham Pro" w:hAnsi="Gotham Pro" w:cs="Gotham Pro"/>
                <w:b/>
                <w:sz w:val="20"/>
                <w:szCs w:val="20"/>
              </w:rPr>
            </w:pPr>
            <w:r>
              <w:rPr>
                <w:rFonts w:hint="default" w:ascii="Gotham Pro" w:hAnsi="Gotham Pro" w:cs="Gotham Pro"/>
                <w:b/>
                <w:sz w:val="20"/>
                <w:szCs w:val="20"/>
                <w:shd w:val="clear" w:color="auto" w:fill="FFFFFF"/>
              </w:rPr>
              <w:t>МБОУ ДО «ЦДТ» «Яндола», местность Индола 615 км, с. Сосново-Озерское</w:t>
            </w:r>
          </w:p>
        </w:tc>
        <w:tc>
          <w:tcPr>
            <w:tcW w:w="2119" w:type="dxa"/>
            <w:gridSpan w:val="2"/>
          </w:tcPr>
          <w:p>
            <w:pPr>
              <w:pStyle w:val="11"/>
              <w:jc w:val="center"/>
              <w:rPr>
                <w:rFonts w:hint="default" w:ascii="Gotham Pro" w:hAnsi="Gotham Pro" w:cs="Gotham Pro"/>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606" w:type="dxa"/>
            <w:gridSpan w:val="5"/>
          </w:tcPr>
          <w:p>
            <w:pPr>
              <w:pStyle w:val="11"/>
              <w:jc w:val="center"/>
              <w:rPr>
                <w:rFonts w:hint="default" w:ascii="Gotham Pro" w:hAnsi="Gotham Pro" w:cs="Gotham Pro"/>
                <w:b/>
                <w:sz w:val="20"/>
                <w:szCs w:val="20"/>
              </w:rPr>
            </w:pPr>
            <w:r>
              <w:rPr>
                <w:rFonts w:hint="default" w:ascii="Gotham Pro" w:hAnsi="Gotham Pro" w:cs="Gotham Pro"/>
                <w:b/>
                <w:sz w:val="20"/>
                <w:szCs w:val="20"/>
                <w:shd w:val="clear" w:color="auto" w:fill="FFFFFF"/>
              </w:rPr>
              <w:t>Итого: на территории Еравнинского района Республики Бурятия - 1 организация отдыха детей и их оздоровления, подверженная угрозе лесных пожаров</w:t>
            </w:r>
          </w:p>
        </w:tc>
      </w:tr>
    </w:tbl>
    <w:p>
      <w:pPr>
        <w:suppressAutoHyphens/>
        <w:spacing w:after="0"/>
        <w:ind w:firstLine="567"/>
        <w:jc w:val="both"/>
        <w:rPr>
          <w:rStyle w:val="13"/>
          <w:rFonts w:ascii="Times New Roman" w:hAnsi="Times New Roman" w:cs="Times New Roman"/>
          <w:sz w:val="28"/>
          <w:szCs w:val="28"/>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b/>
          <w:bCs/>
          <w:sz w:val="24"/>
          <w:szCs w:val="24"/>
        </w:rPr>
      </w:pPr>
      <w:r>
        <w:rPr>
          <w:rFonts w:hint="default" w:ascii="Gotham Pro" w:hAnsi="Gotham Pro" w:cs="Gotham Pro"/>
          <w:b/>
          <w:bCs/>
          <w:sz w:val="24"/>
          <w:szCs w:val="24"/>
        </w:rPr>
        <w:t>8.2.4. Перечень и характеристики возможных источников ЧС биолого-социального характера</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xml:space="preserve">Национальный стандарт РФ ГОСТ Р 22.0.04-2020 «Безопасность в чрезвычайных ситуациях. Биолого-социальные чрезвычайные ситуации. Термины и определения», утвержденный приказом Федерального агентства по техническому регулированию и метрологии от11.09.2020 № 643-ст, установил, что биолого-социальная ЧС – это такая обстановка, при которой в результате возникновения источника биологической чрезвычайной ситуации на определенной территории нарушаются нормальные условия жизни и деятельности людей, существования сельскохозяйственных животных и произрастания растений, возникает угроза жизни и здоровью </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людей, широкого распространения инфекционных болезней, потерь сельскохозяйственных животных и растений.</w:t>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Биолого-социальные ЧС подразделяют на три группы (рис. 8.2.4.-1).</w:t>
      </w:r>
    </w:p>
    <w:p>
      <w:pPr>
        <w:pStyle w:val="11"/>
        <w:spacing w:line="276" w:lineRule="auto"/>
        <w:ind w:firstLine="567"/>
        <w:jc w:val="right"/>
        <w:rPr>
          <w:rFonts w:hint="default" w:ascii="Gotham Pro" w:hAnsi="Gotham Pro" w:cs="Gotham Pro"/>
          <w:sz w:val="20"/>
          <w:szCs w:val="20"/>
          <w:lang w:eastAsia="ar-SA"/>
        </w:rPr>
      </w:pPr>
    </w:p>
    <w:p>
      <w:pPr>
        <w:pStyle w:val="11"/>
        <w:wordWrap/>
        <w:spacing w:line="276" w:lineRule="auto"/>
        <w:ind w:firstLine="567"/>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Группы биолого-социальных ЧС</w:t>
      </w:r>
    </w:p>
    <w:p>
      <w:pPr>
        <w:pStyle w:val="11"/>
        <w:spacing w:line="276" w:lineRule="auto"/>
        <w:ind w:firstLine="567"/>
        <w:jc w:val="right"/>
        <w:rPr>
          <w:rFonts w:hint="default" w:ascii="Gotham Pro" w:hAnsi="Gotham Pro" w:cs="Gotham Pro"/>
          <w:sz w:val="20"/>
          <w:szCs w:val="20"/>
          <w:lang w:eastAsia="ar-SA"/>
        </w:rPr>
      </w:pPr>
      <w:r>
        <w:rPr>
          <w:rFonts w:hint="default" w:ascii="Gotham Pro" w:hAnsi="Gotham Pro" w:cs="Gotham Pro"/>
          <w:sz w:val="20"/>
          <w:szCs w:val="20"/>
          <w:lang w:eastAsia="ar-SA"/>
        </w:rPr>
        <w:t>рис. 8.2.4.-1</w:t>
      </w:r>
    </w:p>
    <w:p>
      <w:pPr>
        <w:pStyle w:val="11"/>
        <w:spacing w:line="276" w:lineRule="auto"/>
        <w:jc w:val="center"/>
        <w:rPr>
          <w:rFonts w:ascii="Times New Roman" w:hAnsi="Times New Roman"/>
          <w:sz w:val="24"/>
          <w:szCs w:val="24"/>
          <w:lang w:eastAsia="ar-SA"/>
        </w:rPr>
      </w:pPr>
      <w:r>
        <w:drawing>
          <wp:inline distT="0" distB="0" distL="0" distR="0">
            <wp:extent cx="5608955" cy="3590925"/>
            <wp:effectExtent l="0" t="0" r="14605" b="5715"/>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18"/>
                    <a:srcRect/>
                    <a:stretch>
                      <a:fillRect/>
                    </a:stretch>
                  </pic:blipFill>
                  <pic:spPr>
                    <a:xfrm>
                      <a:off x="0" y="0"/>
                      <a:ext cx="5608955" cy="3590925"/>
                    </a:xfrm>
                    <a:prstGeom prst="rect">
                      <a:avLst/>
                    </a:prstGeom>
                    <a:noFill/>
                    <a:ln w="9525">
                      <a:noFill/>
                      <a:miter lim="800000"/>
                      <a:headEnd/>
                      <a:tailEnd/>
                    </a:ln>
                  </pic:spPr>
                </pic:pic>
              </a:graphicData>
            </a:graphic>
          </wp:inline>
        </w:drawing>
      </w:r>
    </w:p>
    <w:p>
      <w:pPr>
        <w:pStyle w:val="11"/>
        <w:keepNext w:val="0"/>
        <w:keepLines w:val="0"/>
        <w:pageBreakBefore w:val="0"/>
        <w:widowControl/>
        <w:kinsoku/>
        <w:wordWrap/>
        <w:overflowPunct/>
        <w:topLinePunct w:val="0"/>
        <w:autoSpaceDE/>
        <w:autoSpaceDN/>
        <w:bidi w:val="0"/>
        <w:adjustRightInd/>
        <w:snapToGrid/>
        <w:spacing w:line="300" w:lineRule="auto"/>
        <w:ind w:firstLine="567"/>
        <w:jc w:val="both"/>
        <w:textAlignment w:val="auto"/>
        <w:rPr>
          <w:rFonts w:hint="default" w:ascii="Gotham Pro" w:hAnsi="Gotham Pro" w:cs="Gotham Pro"/>
          <w:sz w:val="26"/>
          <w:szCs w:val="26"/>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Инфекционные болезни людей – это заболевания, вызываемые болезнетворными микроорганизмами и передающиеся от зараженного человека или животного к здоровому.</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Все инфекционные болезни людей подразделяются на четыре группы: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 кишечные инфекции (дизентерия, холера, брюшной тиф, ботулизм и др.) – передаются через загрязненные воду, пищу, руки и др.;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2) инфекции дыхательных путей (дифтерия, туберкулез, корь, оспа, краснуха, коклюш, скарлатина, менингит, пневмония, ангина идр.) – заражение человека происходит в результате вдыхания воздуха, содержащего в нем взвешенные в нем зараженные частицы;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3) инфекции наружных покровов (столбняк, бешенство, венерические болезни, а также чесотка, парша, стригущий лишай, бородавки, стоматиты и др.);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4) кровяные инфекции (клещевой энцефалит, чума, ВИЧ-инфекция, СПИД).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Распространение болезней происходит в форме эпидемии или пандемии.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Эпидемия – массовое, прогрессирующее во времени и пространстве в пределах определенного региона распространение инфекционной болезни людей, значительно превышающее обычно регистрируемый на данной территории уровень этой заболеваемости. Эпидемия обычно распространяется в населенных пунктах и на определенной территории, т.е. в эпидемических очагах.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Пандемия - высшая степень эпидемического распространения, превосходящая размер обычно наблюдающихся эпидемий данного заболевания. При пандемиях иногда регистрируются инфекционные заболевания не выявленной этиологии.</w:t>
      </w:r>
    </w:p>
    <w:p>
      <w:pPr>
        <w:suppressAutoHyphens/>
        <w:spacing w:after="0"/>
        <w:ind w:firstLine="567"/>
        <w:jc w:val="center"/>
        <w:rPr>
          <w:rFonts w:hint="default" w:ascii="Gotham Pro" w:hAnsi="Gotham Pro" w:cs="Gotham Pro"/>
          <w:sz w:val="20"/>
          <w:szCs w:val="20"/>
          <w:lang w:eastAsia="ar-SA"/>
        </w:rPr>
      </w:pPr>
    </w:p>
    <w:p>
      <w:pPr>
        <w:suppressAutoHyphens/>
        <w:spacing w:after="0"/>
        <w:ind w:firstLine="567"/>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 при эпидемии и пандемии</w:t>
      </w:r>
    </w:p>
    <w:p>
      <w:pPr>
        <w:suppressAutoHyphens/>
        <w:spacing w:after="0"/>
        <w:ind w:firstLine="567"/>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8.2.4.-1</w:t>
      </w:r>
    </w:p>
    <w:tbl>
      <w:tblPr>
        <w:tblStyle w:val="3"/>
        <w:tblW w:w="4888" w:type="pct"/>
        <w:tblInd w:w="108"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257"/>
        <w:gridCol w:w="2087"/>
        <w:gridCol w:w="5289"/>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172"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083"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2745"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172"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083"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2745"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05" w:hRule="atLeast"/>
        </w:trPr>
        <w:tc>
          <w:tcPr>
            <w:tcW w:w="1172"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both"/>
              <w:rPr>
                <w:rFonts w:hint="default" w:ascii="Gotham Pro" w:hAnsi="Gotham Pro" w:cs="Gotham Pro"/>
                <w:sz w:val="20"/>
                <w:szCs w:val="20"/>
                <w:lang w:eastAsia="ar-SA"/>
              </w:rPr>
            </w:pPr>
            <w:r>
              <w:rPr>
                <w:rFonts w:hint="default" w:ascii="Gotham Pro" w:hAnsi="Gotham Pro" w:cs="Gotham Pro"/>
                <w:sz w:val="20"/>
                <w:szCs w:val="20"/>
                <w:lang w:eastAsia="ar-SA"/>
              </w:rPr>
              <w:t>Больные люди, животные</w:t>
            </w:r>
          </w:p>
        </w:tc>
        <w:tc>
          <w:tcPr>
            <w:tcW w:w="1083"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Инфекции</w:t>
            </w:r>
          </w:p>
        </w:tc>
        <w:tc>
          <w:tcPr>
            <w:tcW w:w="2745"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both"/>
              <w:rPr>
                <w:rFonts w:hint="default" w:ascii="Gotham Pro" w:hAnsi="Gotham Pro" w:cs="Gotham Pro"/>
                <w:sz w:val="20"/>
                <w:szCs w:val="20"/>
                <w:lang w:eastAsia="ar-SA"/>
              </w:rPr>
            </w:pPr>
            <w:r>
              <w:rPr>
                <w:rFonts w:hint="default" w:ascii="Gotham Pro" w:hAnsi="Gotham Pro" w:cs="Gotham Pro"/>
                <w:sz w:val="20"/>
                <w:szCs w:val="20"/>
                <w:lang w:eastAsia="ar-SA"/>
              </w:rPr>
              <w:t>Высокая заболеваемость и смертность населения, парализующее воздействие на социально-экономическое состояние территории, социальная напряжённость и дискриминация</w:t>
            </w:r>
          </w:p>
        </w:tc>
      </w:tr>
    </w:tbl>
    <w:p>
      <w:pPr>
        <w:pStyle w:val="11"/>
        <w:spacing w:line="276" w:lineRule="auto"/>
        <w:ind w:firstLine="567"/>
        <w:jc w:val="both"/>
        <w:rPr>
          <w:rFonts w:ascii="Times New Roman" w:hAnsi="Times New Roman"/>
          <w:sz w:val="28"/>
          <w:szCs w:val="28"/>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Выделяются следующие виды инфекционных болезней сельскохозяйственных животных (эпизоотии):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по масштабам распространения</w:t>
      </w:r>
      <w:r>
        <w:rPr>
          <w:rFonts w:hint="default" w:ascii="Gotham Pro" w:hAnsi="Gotham Pro" w:cs="Gotham Pro"/>
          <w:sz w:val="24"/>
          <w:szCs w:val="24"/>
          <w:lang w:val="ru-RU" w:eastAsia="ar-SA"/>
        </w:rPr>
        <w:t>:</w:t>
      </w:r>
      <w:r>
        <w:rPr>
          <w:rFonts w:hint="default" w:ascii="Gotham Pro" w:hAnsi="Gotham Pro" w:cs="Gotham Pro"/>
          <w:sz w:val="24"/>
          <w:szCs w:val="24"/>
          <w:lang w:eastAsia="ar-SA"/>
        </w:rPr>
        <w:t xml:space="preserve"> частные, объектовые, местные и региональные;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по степени опасности</w:t>
      </w:r>
      <w:r>
        <w:rPr>
          <w:rFonts w:hint="default" w:ascii="Gotham Pro" w:hAnsi="Gotham Pro" w:cs="Gotham Pro"/>
          <w:sz w:val="24"/>
          <w:szCs w:val="24"/>
          <w:lang w:val="ru-RU" w:eastAsia="ar-SA"/>
        </w:rPr>
        <w:t>:</w:t>
      </w:r>
      <w:r>
        <w:rPr>
          <w:rFonts w:hint="default" w:ascii="Gotham Pro" w:hAnsi="Gotham Pro" w:cs="Gotham Pro"/>
          <w:sz w:val="24"/>
          <w:szCs w:val="24"/>
          <w:lang w:eastAsia="ar-SA"/>
        </w:rPr>
        <w:t xml:space="preserve"> легкие, средней тяжести, тяжелые и чрезвычайно тяжелые;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по экономическому ущербу</w:t>
      </w:r>
      <w:r>
        <w:rPr>
          <w:rFonts w:hint="default" w:ascii="Gotham Pro" w:hAnsi="Gotham Pro" w:cs="Gotham Pro"/>
          <w:sz w:val="24"/>
          <w:szCs w:val="24"/>
          <w:lang w:val="ru-RU" w:eastAsia="ar-SA"/>
        </w:rPr>
        <w:t xml:space="preserve">: </w:t>
      </w:r>
      <w:r>
        <w:rPr>
          <w:rFonts w:hint="default" w:ascii="Gotham Pro" w:hAnsi="Gotham Pro" w:cs="Gotham Pro"/>
          <w:sz w:val="24"/>
          <w:szCs w:val="24"/>
          <w:lang w:eastAsia="ar-SA"/>
        </w:rPr>
        <w:t>незначительные, средние и большие.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xml:space="preserve">Панзоотия – высшая степень развития эпизоотии.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К инфекционным болезням животных, риск распространения которых возможен на территории поселения, относятся сибирская язва, ящур, чума, лептоспироз, бруцеллез, бешенство.</w:t>
      </w:r>
    </w:p>
    <w:p>
      <w:pPr>
        <w:pStyle w:val="11"/>
        <w:spacing w:line="276" w:lineRule="auto"/>
        <w:ind w:firstLine="567"/>
        <w:jc w:val="both"/>
        <w:rPr>
          <w:rFonts w:ascii="Times New Roman" w:hAnsi="Times New Roman"/>
          <w:sz w:val="28"/>
          <w:szCs w:val="28"/>
          <w:lang w:eastAsia="ar-SA"/>
        </w:rPr>
      </w:pPr>
      <w:r>
        <w:rPr>
          <w:rFonts w:ascii="Times New Roman" w:hAnsi="Times New Roman"/>
          <w:sz w:val="28"/>
          <w:szCs w:val="28"/>
          <w:lang w:eastAsia="ar-SA"/>
        </w:rPr>
        <w:t xml:space="preserve"> </w:t>
      </w:r>
    </w:p>
    <w:p>
      <w:pPr>
        <w:suppressAutoHyphens/>
        <w:spacing w:after="0"/>
        <w:ind w:firstLine="567"/>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 при эпизоотии и панзоотии</w:t>
      </w:r>
    </w:p>
    <w:p>
      <w:pPr>
        <w:suppressAutoHyphens/>
        <w:spacing w:after="0"/>
        <w:ind w:firstLine="567"/>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8.2.4.-2</w:t>
      </w:r>
    </w:p>
    <w:tbl>
      <w:tblPr>
        <w:tblStyle w:val="3"/>
        <w:tblW w:w="4946"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352"/>
        <w:gridCol w:w="2065"/>
        <w:gridCol w:w="533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206"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059"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2733"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206"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059"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2733"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742" w:hRule="atLeast"/>
        </w:trPr>
        <w:tc>
          <w:tcPr>
            <w:tcW w:w="1206"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both"/>
              <w:rPr>
                <w:rFonts w:hint="default" w:ascii="Gotham Pro" w:hAnsi="Gotham Pro" w:cs="Gotham Pro"/>
                <w:sz w:val="20"/>
                <w:szCs w:val="20"/>
                <w:lang w:eastAsia="ar-SA"/>
              </w:rPr>
            </w:pPr>
            <w:r>
              <w:rPr>
                <w:rFonts w:hint="default" w:ascii="Gotham Pro" w:hAnsi="Gotham Pro" w:cs="Gotham Pro"/>
                <w:sz w:val="20"/>
                <w:szCs w:val="20"/>
                <w:lang w:eastAsia="ar-SA"/>
              </w:rPr>
              <w:t>Больные животные, человек</w:t>
            </w:r>
          </w:p>
        </w:tc>
        <w:tc>
          <w:tcPr>
            <w:tcW w:w="1059"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 xml:space="preserve">Инфекции </w:t>
            </w:r>
          </w:p>
        </w:tc>
        <w:tc>
          <w:tcPr>
            <w:tcW w:w="2733"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both"/>
              <w:rPr>
                <w:rFonts w:hint="default" w:ascii="Gotham Pro" w:hAnsi="Gotham Pro" w:cs="Gotham Pro"/>
                <w:sz w:val="20"/>
                <w:szCs w:val="20"/>
                <w:lang w:eastAsia="ar-SA"/>
              </w:rPr>
            </w:pPr>
            <w:r>
              <w:rPr>
                <w:rFonts w:hint="default" w:ascii="Gotham Pro" w:hAnsi="Gotham Pro" w:cs="Gotham Pro"/>
                <w:sz w:val="20"/>
                <w:szCs w:val="20"/>
                <w:lang w:eastAsia="ar-SA"/>
              </w:rPr>
              <w:t>Высокая заболеваемость и смертность сельскохозяйственных животных, значительный экономический ущерб сельхозтоваропроизводителям, финансовые затраты на ликвидацию ЧС,</w:t>
            </w:r>
            <w:r>
              <w:rPr>
                <w:rFonts w:hint="default" w:ascii="Gotham Pro" w:hAnsi="Gotham Pro" w:cs="Gotham Pro"/>
                <w:sz w:val="20"/>
                <w:szCs w:val="20"/>
              </w:rPr>
              <w:t xml:space="preserve"> негативное</w:t>
            </w:r>
            <w:r>
              <w:rPr>
                <w:rFonts w:hint="default" w:ascii="Gotham Pro" w:hAnsi="Gotham Pro" w:cs="Gotham Pro"/>
                <w:sz w:val="20"/>
                <w:szCs w:val="20"/>
                <w:lang w:eastAsia="ar-SA"/>
              </w:rPr>
              <w:t xml:space="preserve"> воздействие на социально-экономическое состояние территории, социальная напряжённость и дискриминация </w:t>
            </w:r>
          </w:p>
        </w:tc>
      </w:tr>
    </w:tbl>
    <w:p>
      <w:pPr>
        <w:pStyle w:val="11"/>
        <w:spacing w:line="276" w:lineRule="auto"/>
        <w:ind w:firstLine="567"/>
        <w:jc w:val="both"/>
        <w:rPr>
          <w:rFonts w:ascii="Times New Roman" w:hAnsi="Times New Roman"/>
          <w:sz w:val="28"/>
          <w:szCs w:val="28"/>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Наиболее опасными болезнями сельскохозяйственных растений (эпифитотии) на территории Еравнинского района, в том числе МО СП «</w:t>
      </w:r>
      <w:r>
        <w:rPr>
          <w:rFonts w:hint="default" w:ascii="Gotham Pro" w:hAnsi="Gotham Pro" w:cs="Gotham Pro"/>
          <w:sz w:val="24"/>
          <w:szCs w:val="24"/>
          <w:lang w:val="ru-RU" w:eastAsia="ar-SA"/>
        </w:rPr>
        <w:t>Сосново-Озерское</w:t>
      </w:r>
      <w:r>
        <w:rPr>
          <w:rFonts w:hint="default" w:ascii="Gotham Pro" w:hAnsi="Gotham Pro" w:cs="Gotham Pro"/>
          <w:sz w:val="24"/>
          <w:szCs w:val="24"/>
          <w:lang w:eastAsia="ar-SA"/>
        </w:rPr>
        <w:t>» являются корончатая ржавчина овса, пыльная головня овса, покрытая (твердая) головня овса и фитофтороз картофеля. При обнаружении поражения растений биологическими средствами и выявлении очагов заражения на определенную территорию по представлении заключения органов службы защиты растений накладывается карантин.</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Карантин в отношении растений – система государственных мероприятий, предупреждающих проникновение из-за рубежа опаснейших вредителей, возбудителей болезни и сорняков сельскохозяйственных культур и их распространение.</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На территории, где установлен карантин, принимают все меры по локализации и ликвидации выявленных очагов заражения. Проводят постоянный надзор за использованием продукции и перевозки из зон, объявленных под карантином. Запрещается вывозить продукцию из этих зон, использовать зараженные семена и посадочный материал для посева и посадки. Карантин снимают после полной ликвидации очагов заражения.</w:t>
      </w:r>
    </w:p>
    <w:p>
      <w:pPr>
        <w:suppressAutoHyphens/>
        <w:spacing w:after="0"/>
        <w:ind w:firstLine="567"/>
        <w:jc w:val="center"/>
        <w:rPr>
          <w:rFonts w:hint="default" w:ascii="Gotham Pro" w:hAnsi="Gotham Pro" w:cs="Gotham Pro"/>
          <w:sz w:val="22"/>
          <w:szCs w:val="22"/>
          <w:lang w:eastAsia="ar-SA"/>
        </w:rPr>
      </w:pPr>
    </w:p>
    <w:p>
      <w:pPr>
        <w:suppressAutoHyphens/>
        <w:spacing w:after="0"/>
        <w:ind w:firstLine="567"/>
        <w:jc w:val="center"/>
        <w:rPr>
          <w:rFonts w:hint="default" w:ascii="Gotham Pro" w:hAnsi="Gotham Pro" w:cs="Gotham Pro"/>
          <w:sz w:val="20"/>
          <w:szCs w:val="20"/>
          <w:lang w:eastAsia="ar-SA"/>
        </w:rPr>
      </w:pPr>
      <w:r>
        <w:rPr>
          <w:rFonts w:hint="default" w:ascii="Gotham Pro" w:hAnsi="Gotham Pro" w:cs="Gotham Pro"/>
          <w:sz w:val="20"/>
          <w:szCs w:val="20"/>
          <w:lang w:eastAsia="ar-SA"/>
        </w:rPr>
        <w:t>Возможные ЧС при эпифитотии</w:t>
      </w:r>
    </w:p>
    <w:p>
      <w:pPr>
        <w:suppressAutoHyphens/>
        <w:spacing w:after="0"/>
        <w:ind w:firstLine="567"/>
        <w:jc w:val="right"/>
        <w:rPr>
          <w:rFonts w:hint="default" w:ascii="Gotham Pro" w:hAnsi="Gotham Pro" w:cs="Gotham Pro"/>
          <w:sz w:val="20"/>
          <w:szCs w:val="20"/>
          <w:lang w:eastAsia="ar-SA"/>
        </w:rPr>
      </w:pPr>
      <w:r>
        <w:rPr>
          <w:rFonts w:hint="default" w:ascii="Gotham Pro" w:hAnsi="Gotham Pro" w:cs="Gotham Pro"/>
          <w:sz w:val="20"/>
          <w:szCs w:val="20"/>
          <w:lang w:eastAsia="ar-SA"/>
        </w:rPr>
        <w:t>таблица 8.2.4.-3</w:t>
      </w:r>
    </w:p>
    <w:tbl>
      <w:tblPr>
        <w:tblStyle w:val="3"/>
        <w:tblW w:w="4945" w:type="pct"/>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autofit"/>
        <w:tblCellMar>
          <w:top w:w="0" w:type="dxa"/>
          <w:left w:w="108" w:type="dxa"/>
          <w:bottom w:w="0" w:type="dxa"/>
          <w:right w:w="108" w:type="dxa"/>
        </w:tblCellMar>
      </w:tblPr>
      <w:tblGrid>
        <w:gridCol w:w="2300"/>
        <w:gridCol w:w="3225"/>
        <w:gridCol w:w="4221"/>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180"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Источник</w:t>
            </w:r>
          </w:p>
        </w:tc>
        <w:tc>
          <w:tcPr>
            <w:tcW w:w="1654"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Поражающий фактор</w:t>
            </w:r>
          </w:p>
        </w:tc>
        <w:tc>
          <w:tcPr>
            <w:tcW w:w="2165"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Последствия</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 w:hRule="atLeast"/>
        </w:trPr>
        <w:tc>
          <w:tcPr>
            <w:tcW w:w="1180"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1</w:t>
            </w:r>
          </w:p>
        </w:tc>
        <w:tc>
          <w:tcPr>
            <w:tcW w:w="1654"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2</w:t>
            </w:r>
          </w:p>
        </w:tc>
        <w:tc>
          <w:tcPr>
            <w:tcW w:w="2165"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val="ru-RU" w:eastAsia="ar-SA"/>
              </w:rPr>
            </w:pPr>
            <w:r>
              <w:rPr>
                <w:rFonts w:hint="default" w:ascii="Gotham Pro" w:hAnsi="Gotham Pro" w:cs="Gotham Pro"/>
                <w:sz w:val="20"/>
                <w:szCs w:val="20"/>
                <w:lang w:val="ru-RU" w:eastAsia="ar-SA"/>
              </w:rPr>
              <w:t>3</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9" w:hRule="atLeast"/>
        </w:trPr>
        <w:tc>
          <w:tcPr>
            <w:tcW w:w="1180"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both"/>
              <w:rPr>
                <w:rFonts w:hint="default" w:ascii="Gotham Pro" w:hAnsi="Gotham Pro" w:cs="Gotham Pro"/>
                <w:sz w:val="20"/>
                <w:szCs w:val="20"/>
                <w:lang w:eastAsia="ar-SA"/>
              </w:rPr>
            </w:pPr>
            <w:r>
              <w:rPr>
                <w:rFonts w:hint="default" w:ascii="Gotham Pro" w:hAnsi="Gotham Pro" w:cs="Gotham Pro"/>
                <w:sz w:val="20"/>
                <w:szCs w:val="20"/>
                <w:lang w:eastAsia="ar-SA"/>
              </w:rPr>
              <w:t>Больные растения, животные, человек</w:t>
            </w:r>
          </w:p>
        </w:tc>
        <w:tc>
          <w:tcPr>
            <w:tcW w:w="1654"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center"/>
              <w:rPr>
                <w:rFonts w:hint="default" w:ascii="Gotham Pro" w:hAnsi="Gotham Pro" w:cs="Gotham Pro"/>
                <w:sz w:val="20"/>
                <w:szCs w:val="20"/>
                <w:lang w:eastAsia="ar-SA"/>
              </w:rPr>
            </w:pPr>
            <w:r>
              <w:rPr>
                <w:rFonts w:hint="default" w:ascii="Gotham Pro" w:hAnsi="Gotham Pro" w:cs="Gotham Pro"/>
                <w:sz w:val="20"/>
                <w:szCs w:val="20"/>
                <w:lang w:eastAsia="ar-SA"/>
              </w:rPr>
              <w:t>фитопатогены</w:t>
            </w:r>
          </w:p>
        </w:tc>
        <w:tc>
          <w:tcPr>
            <w:tcW w:w="2165" w:type="pct"/>
            <w:tcBorders>
              <w:top w:val="single" w:color="auto" w:sz="2" w:space="0"/>
              <w:left w:val="single" w:color="auto" w:sz="2" w:space="0"/>
              <w:bottom w:val="single" w:color="auto" w:sz="2" w:space="0"/>
              <w:right w:val="single" w:color="auto" w:sz="2" w:space="0"/>
            </w:tcBorders>
          </w:tcPr>
          <w:p>
            <w:pPr>
              <w:suppressAutoHyphens/>
              <w:spacing w:after="0" w:line="240" w:lineRule="auto"/>
              <w:jc w:val="both"/>
              <w:rPr>
                <w:rFonts w:hint="default" w:ascii="Gotham Pro" w:hAnsi="Gotham Pro" w:cs="Gotham Pro"/>
                <w:sz w:val="20"/>
                <w:szCs w:val="20"/>
                <w:lang w:eastAsia="ar-SA"/>
              </w:rPr>
            </w:pPr>
            <w:r>
              <w:rPr>
                <w:rFonts w:hint="default" w:ascii="Gotham Pro" w:hAnsi="Gotham Pro" w:cs="Gotham Pro"/>
                <w:sz w:val="20"/>
                <w:szCs w:val="20"/>
                <w:lang w:eastAsia="ar-SA"/>
              </w:rPr>
              <w:t>Высокая заболеваемость и гибель сельскохозяйственных культур, посевов, значительный экономический ущерб сельхозтоваропроизводителям, финансовые затраты на ликвидацию ЧС,</w:t>
            </w:r>
            <w:r>
              <w:rPr>
                <w:rFonts w:hint="default" w:ascii="Gotham Pro" w:hAnsi="Gotham Pro" w:cs="Gotham Pro"/>
                <w:sz w:val="20"/>
                <w:szCs w:val="20"/>
              </w:rPr>
              <w:t xml:space="preserve"> негативное</w:t>
            </w:r>
            <w:r>
              <w:rPr>
                <w:rFonts w:hint="default" w:ascii="Gotham Pro" w:hAnsi="Gotham Pro" w:cs="Gotham Pro"/>
                <w:sz w:val="20"/>
                <w:szCs w:val="20"/>
                <w:lang w:eastAsia="ar-SA"/>
              </w:rPr>
              <w:t xml:space="preserve"> воздействие на социально-экономическое состояние территории, социальная напряжённость и дискриминация </w:t>
            </w:r>
          </w:p>
        </w:tc>
      </w:tr>
    </w:tbl>
    <w:p>
      <w:pPr>
        <w:pStyle w:val="11"/>
        <w:spacing w:line="276" w:lineRule="auto"/>
        <w:ind w:firstLine="567"/>
        <w:jc w:val="both"/>
        <w:rPr>
          <w:rFonts w:ascii="Times New Roman" w:hAnsi="Times New Roman"/>
          <w:sz w:val="28"/>
          <w:szCs w:val="28"/>
          <w:lang w:eastAsia="ar-SA"/>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xml:space="preserve">Согласно Государственному докладу «О состоянии санитарно-эпидемиологического благополучия населения в Республике Бурятия» Управления Федеральной службы по надзору в сфере защиты прав потребителей и благополучия человека по Республике Бурятия реализация мер по предупреждению завоза и распространения новой коронавирусной </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инфекции COVID-19 на территории Республики Бурятия, а также мер, направленных на снижение в целом инфекционной заболеваемости в республике, обеспечила устойчивую санитарно-эпидемиологическую обстановку в Республике Бурятия. Системно проводимый ежегодно комплекс плановых и дополнительных профилактических(противоэпидемических) мероприятий позволяет обеспечить в Республике Бурятия, и в частности, МО СП «</w:t>
      </w:r>
      <w:r>
        <w:rPr>
          <w:rFonts w:hint="default" w:ascii="Gotham Pro" w:hAnsi="Gotham Pro" w:cs="Gotham Pro"/>
          <w:sz w:val="24"/>
          <w:szCs w:val="24"/>
          <w:lang w:val="ru-RU" w:eastAsia="ar-SA"/>
        </w:rPr>
        <w:t>Сосново-Озерское</w:t>
      </w:r>
      <w:r>
        <w:rPr>
          <w:rFonts w:hint="default" w:ascii="Gotham Pro" w:hAnsi="Gotham Pro" w:cs="Gotham Pro"/>
          <w:sz w:val="24"/>
          <w:szCs w:val="24"/>
          <w:lang w:eastAsia="ar-SA"/>
        </w:rPr>
        <w:t>» отсутствие эпидемий, эпизоотий и эпифитотии.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eastAsia="CIDFont+F1" w:cs="Gotham Pro"/>
          <w:sz w:val="24"/>
          <w:szCs w:val="24"/>
          <w:lang w:eastAsia="en-US"/>
        </w:rPr>
      </w:pPr>
      <w:r>
        <w:rPr>
          <w:rFonts w:hint="default" w:ascii="Gotham Pro" w:hAnsi="Gotham Pro" w:cs="Gotham Pro"/>
          <w:sz w:val="24"/>
          <w:szCs w:val="24"/>
          <w:lang w:eastAsia="ar-SA"/>
        </w:rPr>
        <w:t>Риски возникновения ЧС, связанных с инфекционной заболеваемости людей на территории поселения отсутствуют. За последние годы на территории поселения вспышек и массовых заболеваний животных не наблюдалось, за исключением COVID-19. Эпифитотийных вспышек болезней сельскохозяйственных культур на территории не наблюдалось. На территории МО СП «</w:t>
      </w:r>
      <w:r>
        <w:rPr>
          <w:rFonts w:hint="default" w:ascii="Gotham Pro" w:hAnsi="Gotham Pro" w:cs="Gotham Pro"/>
          <w:sz w:val="24"/>
          <w:szCs w:val="24"/>
          <w:lang w:val="ru-RU" w:eastAsia="ar-SA"/>
        </w:rPr>
        <w:t>Сосново-Озерское</w:t>
      </w:r>
      <w:r>
        <w:rPr>
          <w:rFonts w:hint="default" w:ascii="Gotham Pro" w:hAnsi="Gotham Pro" w:cs="Gotham Pro"/>
          <w:sz w:val="24"/>
          <w:szCs w:val="24"/>
          <w:lang w:eastAsia="ar-SA"/>
        </w:rPr>
        <w:t xml:space="preserve">» отсутствуют </w:t>
      </w:r>
      <w:r>
        <w:rPr>
          <w:rFonts w:hint="default" w:ascii="Gotham Pro" w:hAnsi="Gotham Pro" w:eastAsia="CIDFont+F1" w:cs="Gotham Pro"/>
          <w:sz w:val="24"/>
          <w:szCs w:val="24"/>
          <w:lang w:eastAsia="en-US"/>
        </w:rPr>
        <w:t>возможные источники ЧС биолого-социального характера.</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eastAsia="CIDFont+F1"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b/>
          <w:sz w:val="24"/>
          <w:szCs w:val="24"/>
        </w:rPr>
      </w:pPr>
      <w:r>
        <w:rPr>
          <w:rFonts w:hint="default" w:ascii="Gotham Pro" w:hAnsi="Gotham Pro" w:cs="Gotham Pro"/>
          <w:b/>
          <w:sz w:val="24"/>
          <w:szCs w:val="24"/>
        </w:rPr>
        <w:t>8.3. Основные показатели по существующим ИТМ ГОЧС, отражающие состояние защиты населения и территории поселения в военное и мирное время на момент разработки генерального плана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lang w:eastAsia="en-US"/>
        </w:rPr>
      </w:pPr>
      <w:r>
        <w:rPr>
          <w:rFonts w:hint="default" w:ascii="Gotham Pro" w:hAnsi="Gotham Pro" w:cs="Gotham Pro"/>
          <w:sz w:val="24"/>
          <w:szCs w:val="24"/>
        </w:rPr>
        <w:t xml:space="preserve">В целях осуществления мер по поддержанию в постоянной готовности к применению по предназначению сил и средств ГО, обеспечению мероприятий и действий по защите населения от опасностей, возникающих при военных конфликтах или вследствие этих конфликтов, а также при ЧС природного и техногенного характера </w:t>
      </w:r>
      <w:r>
        <w:rPr>
          <w:rFonts w:hint="default" w:ascii="Gotham Pro" w:hAnsi="Gotham Pro" w:cs="Gotham Pro"/>
          <w:sz w:val="24"/>
          <w:szCs w:val="24"/>
          <w:highlight w:val="none"/>
        </w:rPr>
        <w:t>постановлением Администрации МО «Еравнинский район» от 02.07.2020 № 329 утверждено Положение о создании сил гражданской обороны и поддержании их в готовности к действиям в Еравнинском районе. Согласно это</w:t>
      </w:r>
      <w:r>
        <w:rPr>
          <w:rFonts w:hint="default" w:ascii="Gotham Pro" w:hAnsi="Gotham Pro" w:cs="Gotham Pro"/>
          <w:sz w:val="24"/>
          <w:szCs w:val="24"/>
        </w:rPr>
        <w:t xml:space="preserve">му правовому документу силами ГО, предназначенными для выполнения задач ГО, являются нештатные формирования (аварийно-восстановительные команды) по обеспечению выполнения мероприятий по ГО – формирования, создаваемые организациями из числа своих работников в целях участия в обеспечении выполнения мероприятий по гражданской обороне и проведении не связанных с угрозой жизни и здоровью людей неотложных работ при ликвидации ЧС. </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Поддержание сил ГО и органов управления в готовности к действиям по предназначению направлено на: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устойчивое управление ГО в военное время;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максимально возможное снижение потерь среди населения от средств поражения;</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готовность сил и средств ГО к действиям по ликвидации последствий нападения противника;</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организованное и быстрое проведение укрытия населения, материальных и культурных ценностей;</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повышение устойчивости работы организаций;</w:t>
      </w:r>
    </w:p>
    <w:p>
      <w:pPr>
        <w:keepNext w:val="0"/>
        <w:keepLines w:val="0"/>
        <w:pageBreakBefore w:val="0"/>
        <w:widowControl w:val="0"/>
        <w:kinsoku/>
        <w:wordWrap/>
        <w:overflowPunct/>
        <w:topLinePunct w:val="0"/>
        <w:autoSpaceDE w:val="0"/>
        <w:autoSpaceDN w:val="0"/>
        <w:bidi w:val="0"/>
        <w:adjustRightInd/>
        <w:snapToGrid/>
        <w:spacing w:after="0"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снабжение населения по нормам военного времени жильем, защитными сооружениями, водой и другими видами первоочередного жизнеобеспечения.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Органами управления по делам ГО и являются: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на федеральном уровне - Единая государственная система предупреждения и ликвидации чрезвычайных ситуаций (РСЧС), объединяющая органы управления, силы и средства федеральных органов исполнительной власти субъектов РФ;</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на региональном уровне (в пределах территории субъекта РФ) — комиссия по предупреждению и ликвидации ЧС и обеспечению пожарной безопасности органа исполнительной власти субъекта РФ;</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на муниципальном уровне (в пределах территории муниципального образования) — комиссия по предупреждению и ликвидации ЧС и обеспечению пожарной безопасности органа местного самоуправления;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на объектовом уровне — комиссия по предупреждению и ликвидации ЧС и обеспечению пожарной безопасности организации.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Основные задачи РСЧС:</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 Проведение единой государственной политики в области предупреждения и ликвидации ЧС, а при их возникновении — защита жизни и здоровья людей, территорий, материальных и культурных ценностей, окружающей среды. Для этого МЧС разрабатывает и вносит в правительство проекты соответствующих законодательных актов и решений.</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2. Формирование и внедрение четкой системы экономических и правовых мер, направленных на обеспечение защиты населения, технической и экологической безопасности.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highlight w:val="none"/>
          <w:lang w:eastAsia="ar-SA"/>
        </w:rPr>
      </w:pPr>
      <w:r>
        <w:rPr>
          <w:rFonts w:hint="default" w:ascii="Gotham Pro" w:hAnsi="Gotham Pro" w:cs="Gotham Pro"/>
          <w:sz w:val="24"/>
          <w:szCs w:val="24"/>
          <w:highlight w:val="none"/>
          <w:lang w:eastAsia="ar-SA"/>
        </w:rPr>
        <w:t xml:space="preserve">Распоряжением главы МО «Еравнинский район» от 03.04.2023 № 120 утвержден План основных мероприятий МО «Еравнинский район» в области гражданской обороны, предупреждения и ликвидации чрезвычайных ситуаций, обеспечения пожарной безопасности и безопасности людей на водных объектах на 2023 год. </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Оповещение населения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xml:space="preserve">Оповещение населения о ЧС проводится в соответствии с Положением о системах оповещения населения, утвержденным совместным приказом Министерства РФ по делам гражданской обороны, чрезвычайным </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p>
    <w:p>
      <w:pPr>
        <w:pStyle w:val="11"/>
        <w:keepNext w:val="0"/>
        <w:keepLines w:val="0"/>
        <w:pageBreakBefore w:val="0"/>
        <w:kinsoku/>
        <w:wordWrap/>
        <w:overflowPunct/>
        <w:topLinePunct w:val="0"/>
        <w:bidi w:val="0"/>
        <w:adjustRightInd/>
        <w:snapToGrid/>
        <w:spacing w:line="300" w:lineRule="auto"/>
        <w:jc w:val="both"/>
        <w:textAlignment w:val="auto"/>
        <w:rPr>
          <w:rFonts w:hint="default" w:ascii="Gotham Pro" w:hAnsi="Gotham Pro" w:cs="Gotham Pro" w:eastAsiaTheme="minorHAnsi"/>
          <w:sz w:val="24"/>
          <w:szCs w:val="24"/>
          <w:lang w:eastAsia="ar-SA"/>
        </w:rPr>
      </w:pPr>
      <w:r>
        <w:rPr>
          <w:rFonts w:hint="default" w:ascii="Gotham Pro" w:hAnsi="Gotham Pro" w:cs="Gotham Pro"/>
          <w:sz w:val="24"/>
          <w:szCs w:val="24"/>
          <w:lang w:eastAsia="ar-SA"/>
        </w:rPr>
        <w:t>ситуациями ликвидации последствий стихийных бедствий и Министерства цифрового развития, связи и массовых коммуникаций РФ от 31.07.2020 № 578/365.</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eastAsia="Calibri" w:cs="Gotham Pro"/>
          <w:bCs/>
          <w:color w:val="000000"/>
          <w:sz w:val="24"/>
          <w:szCs w:val="24"/>
          <w:shd w:val="clear" w:color="auto" w:fill="FFFFFF"/>
          <w:lang w:eastAsia="en-US"/>
        </w:rPr>
      </w:pPr>
      <w:r>
        <w:rPr>
          <w:rFonts w:hint="default" w:ascii="Gotham Pro" w:hAnsi="Gotham Pro" w:cs="Gotham Pro"/>
          <w:sz w:val="24"/>
          <w:szCs w:val="24"/>
          <w:lang w:eastAsia="ar-SA"/>
        </w:rPr>
        <w:t xml:space="preserve">Постановлением Администрации МО «Еравнинский район» от 07.07.2021 № 289 утверждено </w:t>
      </w:r>
      <w:r>
        <w:rPr>
          <w:rFonts w:hint="default" w:ascii="Gotham Pro" w:hAnsi="Gotham Pro" w:eastAsia="Calibri" w:cs="Gotham Pro"/>
          <w:bCs/>
          <w:color w:val="000000"/>
          <w:sz w:val="24"/>
          <w:szCs w:val="24"/>
          <w:shd w:val="clear" w:color="auto" w:fill="FFFFFF"/>
        </w:rPr>
        <w:t xml:space="preserve">Положение о системах оповещения населения МО </w:t>
      </w:r>
      <w:r>
        <w:rPr>
          <w:rFonts w:hint="default" w:ascii="Gotham Pro" w:hAnsi="Gotham Pro" w:cs="Gotham Pro"/>
          <w:sz w:val="24"/>
          <w:szCs w:val="24"/>
        </w:rPr>
        <w:t xml:space="preserve">«Еравнинский район»  </w:t>
      </w:r>
      <w:r>
        <w:rPr>
          <w:rFonts w:hint="default" w:ascii="Gotham Pro" w:hAnsi="Gotham Pro" w:eastAsia="Calibri" w:cs="Gotham Pro"/>
          <w:bCs/>
          <w:color w:val="000000"/>
          <w:sz w:val="24"/>
          <w:szCs w:val="24"/>
          <w:shd w:val="clear" w:color="auto" w:fill="FFFFFF"/>
        </w:rPr>
        <w:t>РБ.</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При получении сигналов оповещения дежурный ЕДДС доводит полученные сигналы до главы МО «Еравнинский район», председателя КЧС и ОПБ района, главного специалиста по ГО и ЧС. Оповещение населения МО «Еравнинский район» осуществляется по указанию Главы МО «Еравнинский район», председателя КЧС и ОПБ района, главного специалиста по ГО и ЧС, с использованием проводных и беспроводных каналов связи, патрульные и звуковещательные машины.</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eastAsiaTheme="minorHAnsi"/>
          <w:sz w:val="24"/>
          <w:szCs w:val="24"/>
          <w:lang w:eastAsia="ar-SA"/>
        </w:rPr>
      </w:pPr>
      <w:r>
        <w:rPr>
          <w:rFonts w:hint="default" w:ascii="Gotham Pro" w:hAnsi="Gotham Pro" w:cs="Gotham Pro"/>
          <w:sz w:val="24"/>
          <w:szCs w:val="24"/>
          <w:lang w:eastAsia="ar-SA"/>
        </w:rPr>
        <w:t>Оповещение осуществляется оперативным дежурным ЕДДС района:</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главе района;</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председателю КЧС и ОПБ района;</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главному специалисту ГО и ЧС района;</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руководящему составу служб в соответствии со схемой оповещения;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главам сельских поселений;</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 руководителям предприятий и учреждений.</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Решение на задействование муниципальных и локальных систем оповещения принимается соответственно:</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lang w:eastAsia="en-US"/>
        </w:rPr>
      </w:pPr>
      <w:r>
        <w:rPr>
          <w:rFonts w:hint="default" w:ascii="Gotham Pro" w:hAnsi="Gotham Pro" w:cs="Gotham Pro"/>
          <w:sz w:val="24"/>
          <w:szCs w:val="24"/>
        </w:rPr>
        <w:t>- главой муниципального образования;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руководителями организаций.</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КСЭОН задействуется в автоматизированном режиме по решению главы МО (лица, его замещающего), организации (собственника объекта, производства, гидротехнического сооружения), в ведении которого находится соответствующая КСЭОН.</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Передача сигналов оповещения и экстренной информации, </w:t>
      </w:r>
      <w:r>
        <w:rPr>
          <w:rFonts w:hint="default" w:ascii="Gotham Pro" w:hAnsi="Gotham Pro" w:cs="Gotham Pro"/>
          <w:sz w:val="24"/>
          <w:szCs w:val="24"/>
        </w:rPr>
        <w:br w:type="textWrapping"/>
      </w:r>
      <w:r>
        <w:rPr>
          <w:rFonts w:hint="default" w:ascii="Gotham Pro" w:hAnsi="Gotham Pro" w:cs="Gotham Pro"/>
          <w:sz w:val="24"/>
          <w:szCs w:val="24"/>
        </w:rPr>
        <w:t>может осуществляться в автоматическом, автоматизированном либо ручном режимах функционирования систем оповещения населения.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автоматическом режиме функционирования системы оповещения населения включаются (запускаются) по заранее установленным программам при получении управляющих сигналов (команд) от систем оповещения населения вышестоящего уровня или непосредственно от систем мониторинга опасных природных явлений и техногенных процессов без участия соответствующих дежурных (дежурно-диспетчерских) служб, ответственных за включение (запуск) систем оповещения населения.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автоматизированном режиме функционирования включение (запуск) систем оповещения населения осуществляется соответствующими дежурными (дежурно-диспетчерским) службами, уполномоченными на включение (запуск) систем оповещения населения, с автоматизированных рабочих мест при поступлении установленных сигналов (команд) и распоряжений.</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В ручном режиме функционирования: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shd w:val="clear" w:color="auto" w:fill="FFFFFF"/>
        </w:rPr>
      </w:pPr>
      <w:r>
        <w:rPr>
          <w:rFonts w:hint="default" w:ascii="Gotham Pro" w:hAnsi="Gotham Pro" w:cs="Gotham Pro"/>
          <w:sz w:val="24"/>
          <w:szCs w:val="24"/>
        </w:rPr>
        <w:t xml:space="preserve">- уполномоченные дежурные (дежурно-диспетчерские) службы органов повседневного управления РСЧС осуществляют включение (запуск) оконечных средств оповещения непосредственно с мест их установки, а также направляют заявки </w:t>
      </w:r>
      <w:r>
        <w:rPr>
          <w:rFonts w:hint="default" w:ascii="Gotham Pro" w:hAnsi="Gotham Pro" w:cs="Gotham Pro"/>
          <w:sz w:val="24"/>
          <w:szCs w:val="24"/>
          <w:shd w:val="clear" w:color="auto" w:fill="FFFFFF"/>
        </w:rPr>
        <w:t>операторам связи и (или) редакциям средств массовой информации на</w:t>
      </w:r>
      <w:r>
        <w:rPr>
          <w:rFonts w:hint="default" w:ascii="Gotham Pro" w:hAnsi="Gotham Pro" w:cs="Gotham Pro"/>
          <w:sz w:val="24"/>
          <w:szCs w:val="24"/>
        </w:rPr>
        <w:t xml:space="preserve"> передачу сигналов оповещения</w:t>
      </w:r>
      <w:r>
        <w:rPr>
          <w:rFonts w:hint="default" w:ascii="Gotham Pro" w:hAnsi="Gotham Pro" w:cs="Gotham Pro"/>
          <w:sz w:val="24"/>
          <w:szCs w:val="24"/>
          <w:shd w:val="clear" w:color="auto" w:fill="FFFFFF"/>
        </w:rPr>
        <w:t xml:space="preserve"> и экстренной информации в соответствии с законодательством Российской Федерации;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задействуются громкоговорящие средства на подвижных объектах, мобильные и носимые средства оповещения.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Автоматический режим функционирования является основным для локальных систем оповещения и КСЭОН, при этом допускается функционирование данных систем оповещения в автоматизированном режиме.</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Передача сигналов оповещения и экстренной информации населению осуществляется подачей сигнала «ВНИМАНИЕ ВСЕМ!» путем включения сетей электрических, электронных сирен и мощных акустических систем длительностью до 3 минут с последующей передачей по сетям связи, в том числе сетям связи телерадиовещания, через радиовещательные и телевизионные передающие станции операторов связи и организаций телерадиовещания с перерывом вещательных программ аудио-  и (или)  аудиовизуальных  сообщений  длительностью  не  более 5 минут (для сетей связи подвижной радиотелефонной связи – сообщений объемом не более 134 символов русского алфавита, включая цифры, пробелы и знаки препинания). </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Сигналы оповещения и экстренная информация передаются непосредственно с рабочих мест дежурных (дежурно-диспетчерских) служб органов повседневного управления РСЧС.</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Допускается трехкратное повторение этих сообщений (для сетей подвижной радиотелефонной связи – повтор передачи сообщения осуществляется не ранее, чем закончится передача предыдущего сообщения).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xml:space="preserve">Типовые аудио- и аудиовизуальные, а также текстовые и графические сообщения населению о фактических и прогнозируемых чрезвычайных </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ситуациях готовятся заблаговременно постоянно действующими органами управления РСЧС совместно с органами повседневного управления РСЧС.</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Для обеспечения своевременной передачи населению сигналов оповещения и экстренной информации комплексно могут использоваться: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электрических, электронных сирен и мощных акустических систем;</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проводного радиовещания;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уличной радиофикации;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кабельного телерадиовещания;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эфирного телерадиовещания;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подвижной радиотелефонной связи;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местной телефонной связи, в том числе таксофоны, предназначенные для оказания универсальных услуг телефонной связи с функцией оповещения;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связи операторов связи и ведомственные;</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сети систем персонального радиовызова;</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информационно-телекоммуникационная сеть «Интернет»;</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 громкоговорящие средства на подвижных объектах, мобильные и носимые средства оповещения.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eastAsia="CIDFont+F1" w:cs="Gotham Pro"/>
          <w:sz w:val="24"/>
          <w:szCs w:val="24"/>
          <w:lang w:eastAsia="en-US"/>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b/>
          <w:sz w:val="24"/>
          <w:szCs w:val="24"/>
          <w:lang w:eastAsia="ar-SA"/>
        </w:rPr>
      </w:pPr>
      <w:r>
        <w:rPr>
          <w:rFonts w:hint="default" w:ascii="Gotham Pro" w:hAnsi="Gotham Pro" w:cs="Gotham Pro"/>
          <w:b/>
          <w:sz w:val="24"/>
          <w:szCs w:val="24"/>
          <w:lang w:eastAsia="ar-SA"/>
        </w:rPr>
        <w:t>8.4. О</w:t>
      </w:r>
      <w:r>
        <w:rPr>
          <w:rFonts w:hint="default" w:ascii="Gotham Pro" w:hAnsi="Gotham Pro" w:cs="Gotham Pro"/>
          <w:b/>
          <w:sz w:val="24"/>
          <w:szCs w:val="24"/>
        </w:rPr>
        <w:t xml:space="preserve">боснование предложений по повышению устойчивости функционирования поселения, защите его населения и территорий в военное время и в ЧС техногенного и природного характера </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eastAsiaTheme="minorHAnsi"/>
          <w:sz w:val="24"/>
          <w:szCs w:val="24"/>
          <w:lang w:eastAsia="en-US"/>
        </w:rPr>
      </w:pPr>
      <w:r>
        <w:rPr>
          <w:rFonts w:hint="default" w:ascii="Gotham Pro" w:hAnsi="Gotham Pro" w:cs="Gotham Pro"/>
          <w:color w:val="2D2D2D"/>
          <w:sz w:val="24"/>
          <w:szCs w:val="24"/>
        </w:rPr>
        <w:t>Повышение устойчивости функционирования территориальных структур и объектов экономики достигается осуществлением мероприятий, направленных на снижение возможных потерь и разрушений от современных средств поражения, созданием условий для ликвидации последствий нападения противника и проведения работ по восстановлению отраслей экономики, а также на обеспечение жизнедеятельности населения.</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color w:val="2D2D2D"/>
          <w:sz w:val="24"/>
          <w:szCs w:val="24"/>
        </w:rPr>
        <w:t>Устойчивость функционирования экономики  в мирное и военное время заключается в  способности экономики удовлетворять оборонные и важнейшие хозяйственные потребности на уровне, обеспечивающем защиту страны и ее жизнедеятельность.</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Устойчивость функционирования территорий в ЧС заключается в</w:t>
      </w:r>
      <w:r>
        <w:rPr>
          <w:rFonts w:hint="default" w:ascii="Gotham Pro" w:hAnsi="Gotham Pro" w:cs="Gotham Pro"/>
          <w:sz w:val="24"/>
          <w:szCs w:val="24"/>
          <w:lang w:val="ru-RU"/>
        </w:rPr>
        <w:t xml:space="preserve"> с</w:t>
      </w:r>
      <w:r>
        <w:rPr>
          <w:rFonts w:hint="default" w:ascii="Gotham Pro" w:hAnsi="Gotham Pro" w:cs="Gotham Pro"/>
          <w:sz w:val="24"/>
          <w:szCs w:val="24"/>
        </w:rPr>
        <w:t>пособности</w:t>
      </w:r>
      <w:r>
        <w:rPr>
          <w:rFonts w:hint="default" w:ascii="Gotham Pro" w:hAnsi="Gotham Pro" w:cs="Gotham Pro"/>
          <w:sz w:val="24"/>
          <w:szCs w:val="24"/>
          <w:lang w:val="ru-RU"/>
        </w:rPr>
        <w:t xml:space="preserve"> </w:t>
      </w:r>
      <w:r>
        <w:rPr>
          <w:rFonts w:hint="default" w:ascii="Gotham Pro" w:hAnsi="Gotham Pro" w:cs="Gotham Pro"/>
          <w:sz w:val="24"/>
          <w:szCs w:val="24"/>
        </w:rPr>
        <w:t>территориальных структур экономики нормально  функционировать в условиях ЧС, противостоянии поражающим воздействиям, предотвращении или ограничении угрозы жизни и здоровью населения и вероятного ущерба объектам экономики, а также  ликвидации ЧС в минимальные короткие сроки на соответствующей территории.</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Под повышением устойчивости функционирования организации (объекта экономики) в ЧС понимается комплекс мероприятий по предотвращению или снижению угрозы жизни и здоровью персонала и проживающего вблизи населения и материального ущерба в ЧС, а также подготовке к проведению спасательных и других неотложных работ в зоне ЧС.</w:t>
      </w:r>
    </w:p>
    <w:p>
      <w:pPr>
        <w:pStyle w:val="11"/>
        <w:keepNext w:val="0"/>
        <w:keepLines w:val="0"/>
        <w:pageBreakBefore w:val="0"/>
        <w:kinsoku/>
        <w:wordWrap/>
        <w:overflowPunct/>
        <w:topLinePunct w:val="0"/>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Мероприятия по повышению устойчивости функционирования объектов экономики показаны на рис. 8.4.-1</w:t>
      </w:r>
    </w:p>
    <w:p>
      <w:pPr>
        <w:pStyle w:val="11"/>
        <w:spacing w:line="276" w:lineRule="auto"/>
        <w:ind w:firstLine="567"/>
        <w:jc w:val="center"/>
        <w:rPr>
          <w:rFonts w:ascii="Times New Roman" w:hAnsi="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Мероприятия по повышению устойчивости функционирования объектов экономики</w:t>
      </w:r>
    </w:p>
    <w:p>
      <w:pPr>
        <w:pStyle w:val="11"/>
        <w:spacing w:line="276" w:lineRule="auto"/>
        <w:ind w:firstLine="567"/>
        <w:jc w:val="right"/>
        <w:rPr>
          <w:rFonts w:hint="default" w:ascii="Gotham Pro" w:hAnsi="Gotham Pro" w:cs="Gotham Pro"/>
          <w:sz w:val="20"/>
          <w:szCs w:val="20"/>
        </w:rPr>
      </w:pPr>
      <w:r>
        <w:rPr>
          <w:rFonts w:hint="default" w:ascii="Gotham Pro" w:hAnsi="Gotham Pro" w:cs="Gotham Pro"/>
          <w:sz w:val="20"/>
          <w:szCs w:val="20"/>
        </w:rPr>
        <w:t>рис. 8.4.-1</w:t>
      </w:r>
    </w:p>
    <w:p>
      <w:pPr>
        <w:pStyle w:val="11"/>
        <w:spacing w:line="276" w:lineRule="auto"/>
        <w:jc w:val="center"/>
        <w:rPr>
          <w:rFonts w:ascii="Times New Roman" w:hAnsi="Times New Roman"/>
          <w:sz w:val="28"/>
          <w:szCs w:val="28"/>
        </w:rPr>
      </w:pPr>
      <w:r>
        <w:rPr>
          <w:rFonts w:ascii="Times New Roman" w:hAnsi="Times New Roman"/>
          <w:sz w:val="28"/>
          <w:szCs w:val="28"/>
        </w:rPr>
        <w:drawing>
          <wp:inline distT="0" distB="0" distL="0" distR="0">
            <wp:extent cx="5034915" cy="3090545"/>
            <wp:effectExtent l="0" t="0" r="9525" b="3175"/>
            <wp:docPr id="27"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Рисунок 13"/>
                    <pic:cNvPicPr>
                      <a:picLocks noChangeAspect="1" noChangeArrowheads="1"/>
                    </pic:cNvPicPr>
                  </pic:nvPicPr>
                  <pic:blipFill>
                    <a:blip r:embed="rId19"/>
                    <a:srcRect/>
                    <a:stretch>
                      <a:fillRect/>
                    </a:stretch>
                  </pic:blipFill>
                  <pic:spPr>
                    <a:xfrm>
                      <a:off x="0" y="0"/>
                      <a:ext cx="5034915" cy="3090545"/>
                    </a:xfrm>
                    <a:prstGeom prst="rect">
                      <a:avLst/>
                    </a:prstGeom>
                    <a:noFill/>
                    <a:ln w="9525">
                      <a:noFill/>
                      <a:miter lim="800000"/>
                      <a:headEnd/>
                      <a:tailEnd/>
                    </a:ln>
                  </pic:spPr>
                </pic:pic>
              </a:graphicData>
            </a:graphic>
          </wp:inline>
        </w:drawing>
      </w:r>
    </w:p>
    <w:p>
      <w:pPr>
        <w:pStyle w:val="11"/>
        <w:spacing w:line="276" w:lineRule="auto"/>
        <w:ind w:firstLine="567"/>
        <w:jc w:val="both"/>
        <w:rPr>
          <w:rFonts w:ascii="Times New Roman" w:hAnsi="Times New Roman"/>
          <w:b/>
          <w:sz w:val="28"/>
          <w:szCs w:val="28"/>
        </w:rPr>
      </w:pP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Мероприятия по повышению устойчивости функционирования объекта должны проводиться по следующим основным направлениям:</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рациональное размещение зданий, сооружений, коммуникаций на территории объекта;</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защита персонала объекта и населения в прилегающей застройке;</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защита инженерно-технического комплекса объекта от поражающих факторов ЧС, современных средств поражения и повышение их стойкости к их воздействиям;</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перевод объекта на современные безопасные технологии и внедрение систем контроля и управления производством;</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организация надежных производственных связей и материально-технического снабжения на объекте;</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подготовка объекта к переводу на аварийный режим работы;</w:t>
      </w: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подготовка к восстановлению нарушенного производства;</w:t>
      </w:r>
    </w:p>
    <w:p>
      <w:pPr>
        <w:pStyle w:val="11"/>
        <w:spacing w:line="276" w:lineRule="auto"/>
        <w:ind w:left="0" w:leftChars="0" w:firstLine="440" w:firstLineChars="0"/>
        <w:jc w:val="both"/>
        <w:rPr>
          <w:rFonts w:hint="default" w:ascii="Gotham Pro" w:hAnsi="Gotham Pro" w:cs="Gotham Pro"/>
          <w:sz w:val="24"/>
          <w:szCs w:val="24"/>
        </w:rPr>
      </w:pPr>
    </w:p>
    <w:p>
      <w:pPr>
        <w:pStyle w:val="11"/>
        <w:spacing w:line="276" w:lineRule="auto"/>
        <w:ind w:left="0" w:leftChars="0" w:firstLine="440" w:firstLineChars="0"/>
        <w:jc w:val="both"/>
        <w:rPr>
          <w:rFonts w:hint="default" w:ascii="Gotham Pro" w:hAnsi="Gotham Pro" w:cs="Gotham Pro"/>
          <w:sz w:val="24"/>
          <w:szCs w:val="24"/>
        </w:rPr>
      </w:pPr>
    </w:p>
    <w:p>
      <w:pPr>
        <w:pStyle w:val="11"/>
        <w:spacing w:line="276" w:lineRule="auto"/>
        <w:ind w:left="0" w:leftChars="0" w:firstLine="440" w:firstLineChars="0"/>
        <w:jc w:val="both"/>
        <w:rPr>
          <w:rFonts w:hint="default" w:ascii="Gotham Pro" w:hAnsi="Gotham Pro" w:cs="Gotham Pro"/>
          <w:sz w:val="24"/>
          <w:szCs w:val="24"/>
        </w:rPr>
      </w:pPr>
    </w:p>
    <w:p>
      <w:pPr>
        <w:pStyle w:val="11"/>
        <w:spacing w:line="276" w:lineRule="auto"/>
        <w:ind w:left="0" w:leftChars="0" w:firstLine="440" w:firstLineChars="0"/>
        <w:jc w:val="both"/>
        <w:rPr>
          <w:rFonts w:hint="default" w:ascii="Gotham Pro" w:hAnsi="Gotham Pro" w:cs="Gotham Pro"/>
          <w:sz w:val="24"/>
          <w:szCs w:val="24"/>
        </w:rPr>
      </w:pPr>
      <w:r>
        <w:rPr>
          <w:rFonts w:hint="default" w:ascii="Gotham Pro" w:hAnsi="Gotham Pro" w:cs="Gotham Pro"/>
          <w:sz w:val="24"/>
          <w:szCs w:val="24"/>
        </w:rPr>
        <w:t>- обеспечение технологической дисциплины, маскировки и охраны объекта.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Решение всего комплекса задач обеспечения устойчивости функционирования объекта осуществляется под руководством органов управления, которые создаются согласно требованиям Федерального закона от 12.02.1998 № 28-ФЗ «О гражданской обороне», Федерального закона от 21.12.1994 № 68-ФЗ «О защите населения и территорий от чрезвычайных ситуаций природного и техногенного характера» и постановления Правительства РФ от 30.12.2003 № 794 «О единой государственной системе предупреждения и ликвидации чрезвычайных ситуаций».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0" w:firstLineChars="0"/>
        <w:jc w:val="both"/>
        <w:textAlignment w:val="auto"/>
        <w:rPr>
          <w:rFonts w:hint="default" w:ascii="Gotham Pro" w:hAnsi="Gotham Pro" w:cs="Gotham Pro"/>
          <w:sz w:val="24"/>
          <w:szCs w:val="24"/>
        </w:rPr>
      </w:pPr>
      <w:r>
        <w:rPr>
          <w:rFonts w:hint="default" w:ascii="Gotham Pro" w:hAnsi="Gotham Pro" w:cs="Gotham Pro"/>
          <w:sz w:val="24"/>
          <w:szCs w:val="24"/>
        </w:rPr>
        <w:t>На рис. 8.4.-2 отображены основные направления повышения устойчивости функционирования объектов экономики.</w:t>
      </w:r>
    </w:p>
    <w:p>
      <w:pPr>
        <w:pStyle w:val="11"/>
        <w:spacing w:line="276" w:lineRule="auto"/>
        <w:ind w:left="0" w:leftChars="0" w:firstLine="440" w:firstLineChars="0"/>
        <w:jc w:val="center"/>
        <w:rPr>
          <w:rFonts w:ascii="Times New Roman" w:hAnsi="Times New Roman"/>
          <w:sz w:val="24"/>
          <w:szCs w:val="24"/>
        </w:rPr>
      </w:pP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 xml:space="preserve">Основные направления </w:t>
      </w:r>
    </w:p>
    <w:p>
      <w:pPr>
        <w:pStyle w:val="11"/>
        <w:spacing w:line="276" w:lineRule="auto"/>
        <w:ind w:firstLine="567"/>
        <w:jc w:val="center"/>
        <w:rPr>
          <w:rFonts w:hint="default" w:ascii="Gotham Pro" w:hAnsi="Gotham Pro" w:cs="Gotham Pro"/>
          <w:sz w:val="20"/>
          <w:szCs w:val="20"/>
        </w:rPr>
      </w:pPr>
      <w:r>
        <w:rPr>
          <w:rFonts w:hint="default" w:ascii="Gotham Pro" w:hAnsi="Gotham Pro" w:cs="Gotham Pro"/>
          <w:sz w:val="20"/>
          <w:szCs w:val="20"/>
        </w:rPr>
        <w:t>повышения устойчивости функционирования объектов экономики</w:t>
      </w:r>
    </w:p>
    <w:p>
      <w:pPr>
        <w:pStyle w:val="11"/>
        <w:spacing w:line="276" w:lineRule="auto"/>
        <w:ind w:firstLine="567"/>
        <w:jc w:val="right"/>
        <w:rPr>
          <w:rFonts w:hint="default" w:ascii="Gotham Pro" w:hAnsi="Gotham Pro" w:cs="Gotham Pro"/>
          <w:b/>
          <w:sz w:val="22"/>
          <w:szCs w:val="22"/>
        </w:rPr>
      </w:pPr>
      <w:r>
        <w:rPr>
          <w:rFonts w:hint="default" w:ascii="Gotham Pro" w:hAnsi="Gotham Pro" w:cs="Gotham Pro"/>
          <w:sz w:val="20"/>
          <w:szCs w:val="20"/>
        </w:rPr>
        <w:t>рис. 8.4.-2</w:t>
      </w:r>
    </w:p>
    <w:p>
      <w:pPr>
        <w:pStyle w:val="11"/>
        <w:spacing w:line="276" w:lineRule="auto"/>
        <w:jc w:val="center"/>
        <w:rPr>
          <w:rFonts w:ascii="Times New Roman" w:hAnsi="Times New Roman"/>
          <w:b/>
          <w:sz w:val="28"/>
          <w:szCs w:val="28"/>
        </w:rPr>
      </w:pPr>
      <w:r>
        <w:rPr>
          <w:rFonts w:ascii="Times New Roman" w:hAnsi="Times New Roman"/>
          <w:b/>
          <w:sz w:val="28"/>
          <w:szCs w:val="28"/>
        </w:rPr>
        <w:drawing>
          <wp:inline distT="0" distB="0" distL="0" distR="0">
            <wp:extent cx="5950585" cy="4758690"/>
            <wp:effectExtent l="0" t="0" r="8255" b="11430"/>
            <wp:docPr id="28"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Рисунок 16"/>
                    <pic:cNvPicPr>
                      <a:picLocks noChangeAspect="1" noChangeArrowheads="1"/>
                    </pic:cNvPicPr>
                  </pic:nvPicPr>
                  <pic:blipFill>
                    <a:blip r:embed="rId20"/>
                    <a:srcRect/>
                    <a:stretch>
                      <a:fillRect/>
                    </a:stretch>
                  </pic:blipFill>
                  <pic:spPr>
                    <a:xfrm>
                      <a:off x="0" y="0"/>
                      <a:ext cx="5950585" cy="4758690"/>
                    </a:xfrm>
                    <a:prstGeom prst="rect">
                      <a:avLst/>
                    </a:prstGeom>
                    <a:noFill/>
                    <a:ln w="9525">
                      <a:noFill/>
                      <a:miter lim="800000"/>
                      <a:headEnd/>
                      <a:tailEnd/>
                    </a:ln>
                  </pic:spPr>
                </pic:pic>
              </a:graphicData>
            </a:graphic>
          </wp:inline>
        </w:drawing>
      </w:r>
    </w:p>
    <w:p>
      <w:pPr>
        <w:suppressAutoHyphens/>
        <w:spacing w:after="0"/>
        <w:ind w:firstLine="567"/>
        <w:jc w:val="both"/>
        <w:rPr>
          <w:rFonts w:ascii="Times New Roman" w:hAnsi="Times New Roman"/>
          <w:b/>
          <w:bCs/>
          <w:sz w:val="28"/>
          <w:szCs w:val="28"/>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8.4.1. Мероприятия по предупреждению и снижению последствий ЧС техногенного характера</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В целях предупреждения и снижения последствий ЧС техногенного характера предлагается проведение следующих мероприятий:</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 разработка карт рисков возникновения ЧС для территории поселения;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2) развитие информационного обеспечения управления рисками возникновения чрезвычайных ситуаций;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3) приведение качества автомобильных дорог до нормативных требований;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4) поддержание элементов автомобильных дорог в рабочем состоянии, особенно в период опасных метеорологических явлений (гололед, снежные наносы);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5) обеспечение санитарно-защитной зоны и противопожарных разрывов от существующих и проектируемых потенциально опасных объектов;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6) оснащение территорий опасных объектов современным оборудованием, предотвращающим возникновение ЧС;</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7) контроль за состоянием размещенных на потенциально опасных объектах опасных веществ, грузов и пр;</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8) строгое соблюдение противопожарных нормативов и требований;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9) формирование аварийных подразделений, обеспеченных необходимым оборудованием, механизмами, и средствами;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10) контроль за состоянием объектов коммунальных систем жизнеобеспечения (объекты жилищно-коммунального комплекса, энергетики и пр.), поддержание этих объектов в рабочем состоянии;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11) оповещение населения и организаций об отключении водоснабжения, теплоснабжения, электроэнергии на указанный период;</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12) подключение потребителей электроэнергии при необходимости от запасных схем электроснабжения;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13) организация несения дежурно-диспетчерской службы;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14) подготовка к эвакуации и рассредоточению рабочих и служащих, имущества и транспорта;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15) аттестация инженерно-технического состава;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16) обеспечение пожарной безопасности;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17) проверка соблюдения действующих норм и правил по промышленной безопасности.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8.4.2. Мероприятия по предупреждению и снижению последствий ЧС природного характера</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Противосейсмические мероприятия:</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pStyle w:val="22"/>
        <w:keepNext w:val="0"/>
        <w:keepLines w:val="0"/>
        <w:pageBreakBefore w:val="0"/>
        <w:widowControl/>
        <w:numPr>
          <w:ilvl w:val="0"/>
          <w:numId w:val="14"/>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при проектировании объектов на территории МО СП «</w:t>
      </w:r>
      <w:r>
        <w:rPr>
          <w:rFonts w:hint="default" w:ascii="Gotham Pro" w:hAnsi="Gotham Pro" w:cs="Gotham Pro"/>
          <w:sz w:val="24"/>
          <w:szCs w:val="24"/>
          <w:lang w:val="ru-RU" w:eastAsia="ar-SA"/>
        </w:rPr>
        <w:t>Сосново-Озерское</w:t>
      </w:r>
      <w:r>
        <w:rPr>
          <w:rFonts w:hint="default" w:ascii="Gotham Pro" w:hAnsi="Gotham Pro" w:cs="Gotham Pro"/>
          <w:sz w:val="24"/>
          <w:szCs w:val="24"/>
          <w:lang w:eastAsia="ar-SA"/>
        </w:rPr>
        <w:t>» необходимо учитывать геологические условия поселения. При размещении жилых, общественных, производственных зданий и сооружений следует руководствоваться в соответствии со сводом правил СП 14.13330.2011 «СНиП II-7-81. Строительство в сейсмических районах» (утв. приказом Министерства регионального развития РФ от 27.12.10 г. № 779);</w:t>
      </w:r>
    </w:p>
    <w:p>
      <w:pPr>
        <w:pStyle w:val="22"/>
        <w:keepNext w:val="0"/>
        <w:keepLines w:val="0"/>
        <w:pageBreakBefore w:val="0"/>
        <w:widowControl/>
        <w:numPr>
          <w:ilvl w:val="0"/>
          <w:numId w:val="14"/>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обследование всех имеющихся объектов капитального строительства в целях выявления объектов, в отношении которых необходимо принятие мер по повышению сейсмостойкости, в том числе путем проведения реконструкции объектов;</w:t>
      </w:r>
    </w:p>
    <w:p>
      <w:pPr>
        <w:pStyle w:val="22"/>
        <w:keepNext w:val="0"/>
        <w:keepLines w:val="0"/>
        <w:pageBreakBefore w:val="0"/>
        <w:widowControl/>
        <w:numPr>
          <w:ilvl w:val="0"/>
          <w:numId w:val="14"/>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обеспечение системы прогнозирования опасных геологических явлений согласно ГОСТ Р22.1.01 «Безопасность в чрезвычайных ситуациях. Мониторинг и прогнозирование. Основные положения».Мониторинг и прогнозирование опасных геологических явлений осуществляется специализированными службами министерств, ведомств или специально уполномоченными организациями, которые функционально, по своему назначению, являются информационными подсистемами в составе единой государственной системы предупреждения и ликвидации ЧС.</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Мероприятия от опасных метеорологических явлений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bCs/>
          <w:sz w:val="24"/>
          <w:szCs w:val="24"/>
          <w:lang w:eastAsia="ar-SA"/>
        </w:rPr>
      </w:pPr>
      <w:r>
        <w:rPr>
          <w:rFonts w:hint="default" w:ascii="Gotham Pro" w:hAnsi="Gotham Pro" w:cs="Gotham Pro"/>
          <w:bCs/>
          <w:sz w:val="24"/>
          <w:szCs w:val="24"/>
          <w:lang w:eastAsia="ar-SA"/>
        </w:rPr>
        <w:t xml:space="preserve">Мероприятия от опасных метеорологических явлений включают в себя: </w:t>
      </w:r>
    </w:p>
    <w:p>
      <w:pPr>
        <w:pStyle w:val="11"/>
        <w:keepNext w:val="0"/>
        <w:keepLines w:val="0"/>
        <w:pageBreakBefore w:val="0"/>
        <w:widowControl/>
        <w:numPr>
          <w:ilvl w:val="0"/>
          <w:numId w:val="1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оповещение населения о приближающихся опасных метеорологических явлениях;</w:t>
      </w:r>
    </w:p>
    <w:p>
      <w:pPr>
        <w:pStyle w:val="11"/>
        <w:keepNext w:val="0"/>
        <w:keepLines w:val="0"/>
        <w:pageBreakBefore w:val="0"/>
        <w:widowControl/>
        <w:numPr>
          <w:ilvl w:val="0"/>
          <w:numId w:val="1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контроль за состоянием объектов жилищно-коммунального комплекса и энергетики, объектов транспортной инфраструктуры, сведение до минимума передвижения транспортных средств;</w:t>
      </w:r>
    </w:p>
    <w:p>
      <w:pPr>
        <w:pStyle w:val="11"/>
        <w:keepNext w:val="0"/>
        <w:keepLines w:val="0"/>
        <w:pageBreakBefore w:val="0"/>
        <w:widowControl/>
        <w:numPr>
          <w:ilvl w:val="0"/>
          <w:numId w:val="1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поддержание объектов жилищно-коммунального комплекса и энергетики, автомобильных дорог, улично-дорожной сети в рабочем состоянии;</w:t>
      </w:r>
    </w:p>
    <w:p>
      <w:pPr>
        <w:pStyle w:val="11"/>
        <w:keepNext w:val="0"/>
        <w:keepLines w:val="0"/>
        <w:pageBreakBefore w:val="0"/>
        <w:widowControl/>
        <w:numPr>
          <w:ilvl w:val="0"/>
          <w:numId w:val="15"/>
        </w:numPr>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обеспечение и организация поверхностного стока вод;</w:t>
      </w:r>
    </w:p>
    <w:p>
      <w:pPr>
        <w:pStyle w:val="22"/>
        <w:keepNext w:val="0"/>
        <w:keepLines w:val="0"/>
        <w:pageBreakBefore w:val="0"/>
        <w:widowControl/>
        <w:numPr>
          <w:ilvl w:val="0"/>
          <w:numId w:val="15"/>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возведение защитных сооружений – дамбы обвалования или подсыпка территории до незатопляемых отметок в целях защиты территории от затопления паводковыми водами;</w:t>
      </w:r>
    </w:p>
    <w:p>
      <w:pPr>
        <w:pStyle w:val="22"/>
        <w:keepNext w:val="0"/>
        <w:keepLines w:val="0"/>
        <w:pageBreakBefore w:val="0"/>
        <w:widowControl/>
        <w:numPr>
          <w:ilvl w:val="0"/>
          <w:numId w:val="15"/>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проведение мониторинга водного режима;</w:t>
      </w:r>
    </w:p>
    <w:p>
      <w:pPr>
        <w:pStyle w:val="22"/>
        <w:keepNext w:val="0"/>
        <w:keepLines w:val="0"/>
        <w:pageBreakBefore w:val="0"/>
        <w:widowControl/>
        <w:numPr>
          <w:ilvl w:val="0"/>
          <w:numId w:val="15"/>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расчистка автомобильных дорог и основных направлений улично-дорожной сети от снежных наносов;</w:t>
      </w:r>
    </w:p>
    <w:p>
      <w:pPr>
        <w:pStyle w:val="22"/>
        <w:keepNext w:val="0"/>
        <w:keepLines w:val="0"/>
        <w:pageBreakBefore w:val="0"/>
        <w:widowControl/>
        <w:numPr>
          <w:ilvl w:val="0"/>
          <w:numId w:val="15"/>
        </w:numPr>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эвакуация граждан.</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highlight w:val="yellow"/>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8.4.3. Мероприятия по предупреждению и снижению последствий ЧС биолого-социального характера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В целях профилактики и предупреждения возникновения ЧС биолого-социального характера предлагается проведение следующих мероприятий: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lang w:eastAsia="ar-SA"/>
        </w:rPr>
        <w:t xml:space="preserve">- </w:t>
      </w:r>
      <w:r>
        <w:rPr>
          <w:rFonts w:hint="default" w:ascii="Gotham Pro" w:hAnsi="Gotham Pro" w:cs="Gotham Pro"/>
          <w:sz w:val="24"/>
          <w:szCs w:val="24"/>
        </w:rPr>
        <w:t>комплекса профилактических и противоэпидемических мероприятий, в том числе вакцинацию;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разъяснительной работы с населением о мерах личной и общественной профилактики заболеваний;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sz w:val="24"/>
          <w:szCs w:val="24"/>
        </w:rPr>
        <w:t xml:space="preserve">- </w:t>
      </w:r>
      <w:r>
        <w:rPr>
          <w:rFonts w:hint="default" w:ascii="Gotham Pro" w:hAnsi="Gotham Pro" w:cs="Gotham Pro" w:eastAsiaTheme="minorHAnsi"/>
          <w:sz w:val="24"/>
          <w:szCs w:val="24"/>
          <w:lang w:eastAsia="en-US"/>
        </w:rPr>
        <w:t>предупредительно-надзорная работа за загрязнением окружающей среды;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соблюдение санитарных правил и технологических требований кулинарной обработки пищевых продуктов, хранении продуктов;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избегание контактов с дикими и безнадзорными животными, в случае укусов немедленное обращение за медицинской помощью;</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принятие мер по профилактике и недопущению инфекционных заболеваний домашних животных и птиц;</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соблюдение мер личной гигиены, осуществление борьбы с насекомыми, грызунами-переносчиками инфекционных заболеваний в местах проживания, объектах торговли и общественного питания, в местах массового пребывания людей;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проведение акарицидной обработки территории;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осуществление постоянного контроля за организациями общественного питания в целях предупреждения вспышек желудочно-кишечных инфекций;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xml:space="preserve">- </w:t>
      </w:r>
      <w:r>
        <w:rPr>
          <w:rFonts w:hint="default" w:ascii="Gotham Pro" w:hAnsi="Gotham Pro" w:cs="Gotham Pro" w:eastAsiaTheme="minorHAnsi"/>
          <w:i/>
          <w:iCs/>
          <w:sz w:val="24"/>
          <w:szCs w:val="24"/>
          <w:lang w:eastAsia="en-US"/>
        </w:rPr>
        <w:t xml:space="preserve"> </w:t>
      </w:r>
      <w:r>
        <w:rPr>
          <w:rFonts w:hint="default" w:ascii="Gotham Pro" w:hAnsi="Gotham Pro" w:cs="Gotham Pro" w:eastAsiaTheme="minorHAnsi"/>
          <w:sz w:val="24"/>
          <w:szCs w:val="24"/>
          <w:lang w:eastAsia="en-US"/>
        </w:rPr>
        <w:t>организация ветеринарного осмотра сельскохозяйственных животных;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обследование посевов сельскохозяйственных растений и леса;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создание необходимых запасов медикаментов, биопрепаратов, дезинфицирующих средств;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создание необходимых запасов средств борьбы с болезнями и вредителями сельскохозяйственных растений;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профилактическая вакцинация сельскохозяйственных животных;</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профилактическая обработка посевов сельскохозяйственных растений;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sz w:val="24"/>
          <w:szCs w:val="24"/>
          <w:lang w:eastAsia="en-US"/>
        </w:rPr>
        <w:t>- огораживание животноводческих ферм, оборудование ветеринарно-санитарных пропусков;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eastAsiaTheme="minorHAnsi"/>
          <w:sz w:val="24"/>
          <w:szCs w:val="24"/>
          <w:lang w:eastAsia="en-US"/>
        </w:rPr>
      </w:pPr>
      <w:r>
        <w:rPr>
          <w:rFonts w:hint="default" w:ascii="Gotham Pro" w:hAnsi="Gotham Pro" w:cs="Gotham Pro" w:eastAsiaTheme="minorHAnsi"/>
          <w:iCs/>
          <w:sz w:val="24"/>
          <w:szCs w:val="24"/>
          <w:lang w:eastAsia="en-US"/>
        </w:rPr>
        <w:t>-</w:t>
      </w:r>
      <w:r>
        <w:rPr>
          <w:rFonts w:hint="default" w:ascii="Gotham Pro" w:hAnsi="Gotham Pro" w:cs="Gotham Pro" w:eastAsiaTheme="minorHAnsi"/>
          <w:i/>
          <w:iCs/>
          <w:sz w:val="24"/>
          <w:szCs w:val="24"/>
          <w:lang w:eastAsia="en-US"/>
        </w:rPr>
        <w:t xml:space="preserve"> </w:t>
      </w:r>
      <w:r>
        <w:rPr>
          <w:rFonts w:hint="default" w:ascii="Gotham Pro" w:hAnsi="Gotham Pro" w:cs="Gotham Pro" w:eastAsiaTheme="minorHAnsi"/>
          <w:sz w:val="24"/>
          <w:szCs w:val="24"/>
          <w:lang w:eastAsia="en-US"/>
        </w:rPr>
        <w:t>обработка животноводческих помещений.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Основные противоэпидемические мероприятия включают:</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1) меры, направленные на устранение источника инфекции: выявление больных, бактерионосителей, их изоляция и лечение; обнаружение лиц, общавшихся с заболевшими, для последующего наблюдения за состоянием их здоровья, чтобы своевременно установить новые случаи заболеваний и своевременно изолировать больных людей.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2) мероприятия, направленные на пресечение путей распространения инфекции и на предотвращение расширения границ очага:</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а) режимные ограничительные меры – обсервация и карантин. Обсервация – специально организованное медицинское наблюдение за населением в очаге инфекции, включающее ряд мероприятий, направленных на своевременное выявление и изоляцию заболевших в целях предупреждения распространения эпидемии. Одновременно с помощью антибиотиков проводят экстренную профилактику, делают необходимые прививки, ведут наблюдение за строгим выполнением правил личной и общественной гигиены. Срок обсервации определяется длительностью максимального инкубационного периода для данного заболевания и исчисляется с момента изоляции последнего больного и окончания дезинфекции в очаге. Карантин – это система наиболее строгих изоляционно-ограничительных противоэпидемических мероприятий, проводимых для предупреждения распространения инфекционных заболеваний;</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б) дезинфекционные мероприятия, включающие не только обеззараживание, но также дезинсекцию, дератизацию (уничтожение насекомых и грызунов).</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3) меры, направленные на повышение невосприимчивости населения к инфекции, среди которых наиболее важное значение имеют методы экстренной профилактики возникновения заболевания: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а) иммунизация населения по эпидемическим показаниям;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б) использование противомикробных средств в профилактических целях (бактериофаги, интерфероны, антибиотики).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lang w:eastAsia="ar-SA"/>
        </w:rPr>
      </w:pPr>
      <w:r>
        <w:rPr>
          <w:rFonts w:hint="default" w:ascii="Gotham Pro" w:hAnsi="Gotham Pro" w:cs="Gotham Pro"/>
          <w:sz w:val="24"/>
          <w:szCs w:val="24"/>
          <w:lang w:eastAsia="ar-SA"/>
        </w:rPr>
        <w:t>Указанные противоэпидемические меры в условиях эпидемического очага обязательно дополняются проведением целого ряда организационных мероприятий, направленных на ограничение контактов среди населения. В организованных коллективах проводится санитарно-просветительная и воспитательная работа, привлекаются средства массовой информации. Важное значение приобретает воспитательная и санитарно-просветительная работа педагогов с учащимися школ.</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cs="Gotham Pro"/>
          <w:b/>
          <w:bCs/>
          <w:sz w:val="24"/>
          <w:szCs w:val="24"/>
          <w:lang w:eastAsia="ar-SA"/>
        </w:rPr>
      </w:pPr>
      <w:r>
        <w:rPr>
          <w:rFonts w:hint="default" w:ascii="Gotham Pro" w:hAnsi="Gotham Pro" w:cs="Gotham Pro"/>
          <w:b/>
          <w:bCs/>
          <w:sz w:val="24"/>
          <w:szCs w:val="24"/>
          <w:lang w:eastAsia="ar-SA"/>
        </w:rPr>
        <w:t>8.4.4. Мероприятия по обеспечению пожарной безопасности</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r>
        <w:rPr>
          <w:rFonts w:hint="default" w:ascii="Gotham Pro" w:hAnsi="Gotham Pro" w:eastAsia="Times New Roman" w:cs="Gotham Pro"/>
          <w:sz w:val="24"/>
          <w:szCs w:val="24"/>
          <w:lang w:eastAsia="ar-SA"/>
        </w:rPr>
        <w:t>В соответствии с Федеральным законом от 22.07.2008№ 123-ФЗ «Технический регламент о требованиях пожарной безопасности» и Федеральным законом № 69-ФЗ обеспечение мер пожарной безопасности состоит в следующем:</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r>
        <w:rPr>
          <w:rFonts w:hint="default" w:ascii="Gotham Pro" w:hAnsi="Gotham Pro" w:eastAsia="Times New Roman" w:cs="Gotham Pro"/>
          <w:sz w:val="24"/>
          <w:szCs w:val="24"/>
          <w:lang w:eastAsia="ar-SA"/>
        </w:rPr>
        <w:t>1) разработка мер пожарной безопасности;</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r>
        <w:rPr>
          <w:rFonts w:hint="default" w:ascii="Gotham Pro" w:hAnsi="Gotham Pro" w:eastAsia="Times New Roman" w:cs="Gotham Pro"/>
          <w:sz w:val="24"/>
          <w:szCs w:val="24"/>
          <w:lang w:eastAsia="ar-SA"/>
        </w:rPr>
        <w:t>2) реализация мер пожарной безопасности;</w:t>
      </w:r>
    </w:p>
    <w:p>
      <w:pPr>
        <w:keepNext w:val="0"/>
        <w:keepLines w:val="0"/>
        <w:pageBreakBefore w:val="0"/>
        <w:widowControl/>
        <w:suppressAutoHyphens/>
        <w:kinsoku/>
        <w:wordWrap/>
        <w:overflowPunct/>
        <w:topLinePunct w:val="0"/>
        <w:autoSpaceDE/>
        <w:autoSpaceDN/>
        <w:bidi w:val="0"/>
        <w:adjustRightInd/>
        <w:snapToGrid/>
        <w:spacing w:after="0" w:line="300" w:lineRule="auto"/>
        <w:ind w:left="0" w:leftChars="0" w:firstLine="439" w:firstLineChars="183"/>
        <w:jc w:val="both"/>
        <w:textAlignment w:val="auto"/>
        <w:rPr>
          <w:rFonts w:hint="default" w:ascii="Gotham Pro" w:hAnsi="Gotham Pro" w:eastAsia="Times New Roman" w:cs="Gotham Pro"/>
          <w:sz w:val="24"/>
          <w:szCs w:val="24"/>
          <w:lang w:eastAsia="ar-SA"/>
        </w:rPr>
      </w:pPr>
      <w:r>
        <w:rPr>
          <w:rFonts w:hint="default" w:ascii="Gotham Pro" w:hAnsi="Gotham Pro" w:eastAsia="Times New Roman" w:cs="Gotham Pro"/>
          <w:sz w:val="24"/>
          <w:szCs w:val="24"/>
          <w:lang w:eastAsia="ar-SA"/>
        </w:rPr>
        <w:t>3) выполнение требований пожарной безопасности.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С целью предотвращения распространения очагов пожаров здания общественно-социального назначения обеспечиваются сигнализацией и оповещением о возникновении пожара, средствами пожаротушения.</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Пожаротушение на территории МО СП «Сосново-Озерское» выполняется силами подразделений пожарной охраны,  том числе добровольной пожарной дружины.</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b/>
          <w:sz w:val="24"/>
          <w:szCs w:val="24"/>
        </w:rPr>
        <w:t>Забор воды для тушения пожаров</w:t>
      </w:r>
      <w:r>
        <w:rPr>
          <w:rFonts w:hint="default" w:ascii="Gotham Pro" w:hAnsi="Gotham Pro" w:cs="Gotham Pro"/>
          <w:sz w:val="24"/>
          <w:szCs w:val="24"/>
        </w:rPr>
        <w:t xml:space="preserve"> осуществляется из имеющихся источников водоснабжения и естественных водных объектов.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41" w:firstLineChars="183"/>
        <w:jc w:val="both"/>
        <w:textAlignment w:val="auto"/>
        <w:rPr>
          <w:rFonts w:hint="default" w:ascii="Gotham Pro" w:hAnsi="Gotham Pro" w:cs="Gotham Pro"/>
          <w:sz w:val="24"/>
          <w:szCs w:val="24"/>
        </w:rPr>
      </w:pPr>
      <w:r>
        <w:rPr>
          <w:rFonts w:hint="default" w:ascii="Gotham Pro" w:hAnsi="Gotham Pro" w:eastAsia="TimesNewRomanPSMT" w:cs="Gotham Pro"/>
          <w:b/>
          <w:sz w:val="24"/>
          <w:szCs w:val="24"/>
          <w:lang w:eastAsia="en-US"/>
        </w:rPr>
        <w:t>Проектирование проходов, пожарных проездов и подъездных путей к зданиям и сооружениям для пожарной техники, специальных или совмещенных с функциональными проездами и подъездами</w:t>
      </w:r>
      <w:r>
        <w:rPr>
          <w:rFonts w:hint="default" w:ascii="Gotham Pro" w:hAnsi="Gotham Pro" w:eastAsia="TimesNewRomanPSMT" w:cs="Gotham Pro"/>
          <w:sz w:val="24"/>
          <w:szCs w:val="24"/>
          <w:lang w:eastAsia="en-US"/>
        </w:rPr>
        <w:t xml:space="preserve"> должно осуществляться в соответствии с СП 4.13130 «Системы противопожарной защиты. Ограничение распространения пожара на объектах защиты. Требования к объемно-планировочным и конструктивным решениям» (вместе с «СП 4.13130.2013.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eastAsia="Times New Roman" w:cs="Gotham Pro"/>
          <w:sz w:val="24"/>
          <w:szCs w:val="24"/>
          <w:lang w:eastAsia="ar-SA"/>
        </w:rPr>
      </w:pPr>
      <w:r>
        <w:rPr>
          <w:rFonts w:hint="default" w:ascii="Gotham Pro" w:hAnsi="Gotham Pro" w:cs="Gotham Pro"/>
          <w:b/>
          <w:sz w:val="24"/>
          <w:szCs w:val="24"/>
        </w:rPr>
        <w:t>Защитные противопожарные разрывы</w:t>
      </w:r>
      <w:r>
        <w:rPr>
          <w:rFonts w:hint="default" w:ascii="Gotham Pro" w:hAnsi="Gotham Pro" w:cs="Gotham Pro"/>
          <w:sz w:val="24"/>
          <w:szCs w:val="24"/>
        </w:rPr>
        <w:t xml:space="preserve"> предлагается создавать в соответствии с ГОСТ Р 57972-2017 «Объекты противопожарного обустройства лесов. Общие требования».  Противопожарные расстояния от границ застройки городских поселений до лесных насаждений в лесничествах (лесопарках) должны быть не менее 50 м, а от границ застройки городских и сельских поселений с одно-, двухэтажной индивидуальной застройкой, а также от домов и хозяйственных построек на территории садовых, дачных и приусадебных земельных участков до лесных насаждений в лесничествах (лесопарках) - не менее 30 м.</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b/>
          <w:sz w:val="24"/>
          <w:szCs w:val="24"/>
        </w:rPr>
        <w:t>Защитные противопожарные полосы</w:t>
      </w:r>
      <w:r>
        <w:rPr>
          <w:rFonts w:hint="default" w:ascii="Gotham Pro" w:hAnsi="Gotham Pro" w:cs="Gotham Pro"/>
          <w:sz w:val="24"/>
          <w:szCs w:val="24"/>
        </w:rPr>
        <w:t xml:space="preserve"> устраиваются: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а) по границам участков, отведенных для построек, занятых пожароопасными производствами, лесными складами, жилыми помещениями, гаражами;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б) по границам участков лесных культур, хвойных молодняков и участков ценного леса;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в хвойных массивах вдоль железных, шоссейных, лесовозных и грунтовых (с большим движением) автомобильных дорог;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г) на противопожарных разрывах;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д) на лесосеках, где осталась на пожароопасный период заготовленная лесная продукция и порубочные остатки;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е) по границам лесных участков с сельскохозяйственными угодьями, где возможен переход огня в лес с участков сельскохозяйственного пользования.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Согласно ГОСТ Р 57972-2017 «Объекты противопожарного обустройства лесов. Общие требования» защитные противопожарные полосы создаются бульдозерами, тракторными плугами, выжиганием напочвенного покрова и посевов на полосах огнестойких растений (картофеля, люпина, донника и других), кроме злаков. Ширина защитных полос должна быть, в зависимости от напочвенного покрова и его мощности: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а) при напочвенном покрове из лишайников и зеленых мхов — от 1 до 1,5 м;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б) из ягодников и вереска — от 1,5 до 2,5 м;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 xml:space="preserve">в) с мощным травянистым покровом и на захламленных участках от 2,5 до 4 м. </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sz w:val="24"/>
          <w:szCs w:val="24"/>
        </w:rPr>
        <w:t>В целях предупреждения зарастания вместо повторной вспашки защитные полосы обрабатывают гербицидами: водными растворами хлористого цинка, медного и железного купороса 5 - 10-процентной концентрации и водными растворами хлористого кальция, хлористого магния 25-30-процентной концентрации с добавлением в них 1% керосинового контакта. Дозировка 0,5-2 л раствора на 1 м</w:t>
      </w:r>
      <w:r>
        <w:rPr>
          <w:rFonts w:hint="default" w:ascii="Gotham Pro" w:hAnsi="Gotham Pro" w:cs="Gotham Pro"/>
          <w:sz w:val="24"/>
          <w:szCs w:val="24"/>
          <w:vertAlign w:val="superscript"/>
        </w:rPr>
        <w:t>2</w:t>
      </w:r>
      <w:r>
        <w:rPr>
          <w:rFonts w:hint="default" w:ascii="Gotham Pro" w:hAnsi="Gotham Pro" w:cs="Gotham Pro"/>
          <w:sz w:val="24"/>
          <w:szCs w:val="24"/>
        </w:rPr>
        <w:t xml:space="preserve"> полосы. Обработка полос производится ранцевыми и тракторными опрыскивателями.</w:t>
      </w:r>
    </w:p>
    <w:p>
      <w:pPr>
        <w:pStyle w:val="11"/>
        <w:keepNext w:val="0"/>
        <w:keepLines w:val="0"/>
        <w:pageBreakBefore w:val="0"/>
        <w:widowControl/>
        <w:kinsoku/>
        <w:wordWrap/>
        <w:overflowPunct/>
        <w:topLinePunct w:val="0"/>
        <w:autoSpaceDE/>
        <w:autoSpaceDN/>
        <w:bidi w:val="0"/>
        <w:adjustRightInd/>
        <w:snapToGrid/>
        <w:spacing w:line="300" w:lineRule="auto"/>
        <w:ind w:left="0" w:leftChars="0" w:firstLine="439" w:firstLineChars="183"/>
        <w:jc w:val="both"/>
        <w:textAlignment w:val="auto"/>
        <w:rPr>
          <w:rFonts w:hint="default" w:ascii="Gotham Pro" w:hAnsi="Gotham Pro" w:cs="Gotham Pro"/>
          <w:sz w:val="24"/>
          <w:szCs w:val="24"/>
        </w:rPr>
      </w:pPr>
      <w:r>
        <w:rPr>
          <w:rFonts w:hint="default" w:ascii="Gotham Pro" w:hAnsi="Gotham Pro" w:cs="Gotham Pro"/>
          <w:b/>
          <w:sz w:val="24"/>
          <w:szCs w:val="24"/>
        </w:rPr>
        <w:t>Защитные минерализованные полосы</w:t>
      </w:r>
      <w:r>
        <w:rPr>
          <w:rFonts w:hint="default" w:ascii="Gotham Pro" w:hAnsi="Gotham Pro" w:cs="Gotham Pro"/>
          <w:sz w:val="24"/>
          <w:szCs w:val="24"/>
        </w:rPr>
        <w:t xml:space="preserve"> должны устраиваться по противопожарным просекам, безлесным пространствам, вдоль грунтовых и железных дорог, вокруг хвойных молодняков, вокруг участков, наиболее опасных в пожарном отношении, вокруг горельников, буреломов и усыхающих насаждений. Ширина минерализованных полос должна быть 1,5 – 2 м.</w:t>
      </w:r>
    </w:p>
    <w:p>
      <w:pPr>
        <w:ind w:left="-13" w:leftChars="0" w:firstLine="453" w:firstLineChars="0"/>
        <w:jc w:val="both"/>
        <w:rPr>
          <w:rFonts w:ascii="Gotham Pro" w:hAnsi="Gotham Pro" w:cs="Gotham Pro"/>
          <w:sz w:val="24"/>
          <w:szCs w:val="24"/>
          <w:lang w:eastAsia="ru-RU"/>
        </w:rPr>
      </w:pPr>
      <w:r>
        <w:rPr>
          <w:rFonts w:hint="default" w:ascii="Gotham Pro" w:hAnsi="Gotham Pro" w:cs="Gotham Pro"/>
          <w:sz w:val="24"/>
          <w:szCs w:val="24"/>
        </w:rPr>
        <w:t>Охрана лесов Еравнинского лесничества от пожаров осуществляется в соответствии с мероприятиями, предусмотренными Лесохозяйственным регламентом Еравнинского лесничества.</w:t>
      </w:r>
      <w:r>
        <w:rPr>
          <w:rFonts w:ascii="Gotham Pro" w:hAnsi="Gotham Pro" w:cs="Gotham Pro"/>
          <w:sz w:val="24"/>
          <w:szCs w:val="24"/>
          <w:lang w:eastAsia="ru-RU"/>
        </w:rPr>
        <w:drawing>
          <wp:anchor distT="0" distB="0" distL="114300" distR="114300" simplePos="0" relativeHeight="251662336" behindDoc="1" locked="0" layoutInCell="1" allowOverlap="1">
            <wp:simplePos x="0" y="0"/>
            <wp:positionH relativeFrom="column">
              <wp:posOffset>-3810</wp:posOffset>
            </wp:positionH>
            <wp:positionV relativeFrom="paragraph">
              <wp:posOffset>10444480</wp:posOffset>
            </wp:positionV>
            <wp:extent cx="2253615" cy="245110"/>
            <wp:effectExtent l="0" t="0" r="0" b="2540"/>
            <wp:wrapNone/>
            <wp:docPr id="201" name="Рисунок 201" descr="й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Рисунок 201" descr="й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a:xfrm>
                      <a:off x="0" y="0"/>
                      <a:ext cx="2253615" cy="245110"/>
                    </a:xfrm>
                    <a:prstGeom prst="rect">
                      <a:avLst/>
                    </a:prstGeom>
                    <a:noFill/>
                  </pic:spPr>
                </pic:pic>
              </a:graphicData>
            </a:graphic>
          </wp:anchor>
        </w:drawing>
      </w:r>
    </w:p>
    <w:sectPr>
      <w:pgSz w:w="11906" w:h="16838"/>
      <w:pgMar w:top="1134" w:right="567" w:bottom="1134" w:left="1701" w:header="708" w:footer="709" w:gutter="0"/>
      <w:pgNumType w:fmt="decimal"/>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00"/>
    <w:family w:val="auto"/>
    <w:pitch w:val="default"/>
    <w:sig w:usb0="00000000" w:usb1="00000000" w:usb2="00000000" w:usb3="00000000" w:csb0="00000000" w:csb1="00000000"/>
  </w:font>
  <w:font w:name="Gotham Pro">
    <w:panose1 w:val="02000503040000020004"/>
    <w:charset w:val="00"/>
    <w:family w:val="modern"/>
    <w:pitch w:val="default"/>
    <w:sig w:usb0="80000AAF" w:usb1="5000204A" w:usb2="00000000" w:usb3="00000000" w:csb0="2000003F" w:csb1="00000000"/>
  </w:font>
  <w:font w:name="Arial CYR">
    <w:altName w:val="Arial"/>
    <w:panose1 w:val="020B0604020202020204"/>
    <w:charset w:val="CC"/>
    <w:family w:val="swiss"/>
    <w:pitch w:val="default"/>
    <w:sig w:usb0="00000000" w:usb1="00000000" w:usb2="00000009" w:usb3="00000000" w:csb0="000001FF" w:csb1="00000000"/>
  </w:font>
  <w:font w:name="Batang">
    <w:altName w:val="Malgun Gothic"/>
    <w:panose1 w:val="02030600000101010101"/>
    <w:charset w:val="81"/>
    <w:family w:val="auto"/>
    <w:pitch w:val="default"/>
    <w:sig w:usb0="00000000" w:usb1="00000000" w:usb2="00000010" w:usb3="00000000" w:csb0="00080000" w:csb1="00000000"/>
  </w:font>
  <w:font w:name="CIDFont+F1">
    <w:altName w:val="Yu Gothic"/>
    <w:panose1 w:val="00000000000000000000"/>
    <w:charset w:val="80"/>
    <w:family w:val="auto"/>
    <w:pitch w:val="default"/>
    <w:sig w:usb0="00000000" w:usb1="00000000" w:usb2="00000010" w:usb3="00000000" w:csb0="00020000" w:csb1="00000000"/>
  </w:font>
  <w:font w:name="等线 Light">
    <w:altName w:val="Segoe Print"/>
    <w:panose1 w:val="00000000000000000000"/>
    <w:charset w:val="00"/>
    <w:family w:val="auto"/>
    <w:pitch w:val="default"/>
    <w:sig w:usb0="00000000" w:usb1="00000000" w:usb2="00000000" w:usb3="00000000" w:csb0="00000000" w:csb1="00000000"/>
  </w:font>
  <w:font w:name="TimesNewRomanPSMT">
    <w:altName w:val="MS Gothic"/>
    <w:panose1 w:val="00000000000000000000"/>
    <w:charset w:val="80"/>
    <w:family w:val="auto"/>
    <w:pitch w:val="default"/>
    <w:sig w:usb0="00000000" w:usb1="00000000" w:usb2="00000010" w:usb3="00000000" w:csb0="00020000" w:csb1="00000000"/>
  </w:font>
  <w:font w:name="Microsoft YaHei">
    <w:panose1 w:val="020B0503020204020204"/>
    <w:charset w:val="86"/>
    <w:family w:val="auto"/>
    <w:pitch w:val="default"/>
    <w:sig w:usb0="80000287" w:usb1="2ACF3C50" w:usb2="00000016" w:usb3="00000000" w:csb0="0004001F" w:csb1="00000000"/>
  </w:font>
  <w:font w:name="Malgun Gothic">
    <w:panose1 w:val="020B0503020000020004"/>
    <w:charset w:val="81"/>
    <w:family w:val="auto"/>
    <w:pitch w:val="default"/>
    <w:sig w:usb0="9000002F" w:usb1="29D77CFB" w:usb2="00000012" w:usb3="00000000" w:csb0="00080001" w:csb1="00000000"/>
  </w:font>
  <w:font w:name="Yu Gothic">
    <w:panose1 w:val="020B0400000000000000"/>
    <w:charset w:val="80"/>
    <w:family w:val="auto"/>
    <w:pitch w:val="default"/>
    <w:sig w:usb0="E00002FF" w:usb1="2AC7FDFF" w:usb2="00000016" w:usb3="00000000" w:csb0="2002009F" w:csb1="00000000"/>
  </w:font>
  <w:font w:name="Segoe Print">
    <w:panose1 w:val="02000600000000000000"/>
    <w:charset w:val="00"/>
    <w:family w:val="auto"/>
    <w:pitch w:val="default"/>
    <w:sig w:usb0="0000028F" w:usb1="00000000" w:usb2="00000000" w:usb3="00000000" w:csb0="2000009F" w:csb1="47010000"/>
  </w:font>
  <w:font w:name="MS Gothic">
    <w:panose1 w:val="020B0609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Arial" w:hAnsi="Arial" w:cs="Arial"/>
        <w:sz w:val="16"/>
        <w:szCs w:val="16"/>
      </w:rPr>
    </w:pPr>
  </w:p>
  <w:p>
    <w:pPr>
      <w:pStyle w:val="6"/>
    </w:pPr>
    <w:r>
      <w:rPr>
        <w:lang w:eastAsia="ru-RU"/>
      </w:rPr>
      <w:drawing>
        <wp:anchor distT="0" distB="0" distL="114300" distR="114300" simplePos="0" relativeHeight="251668480" behindDoc="0" locked="0" layoutInCell="1" allowOverlap="1">
          <wp:simplePos x="0" y="0"/>
          <wp:positionH relativeFrom="column">
            <wp:posOffset>4592320</wp:posOffset>
          </wp:positionH>
          <wp:positionV relativeFrom="paragraph">
            <wp:posOffset>144780</wp:posOffset>
          </wp:positionV>
          <wp:extent cx="179070" cy="179070"/>
          <wp:effectExtent l="0" t="0" r="0" b="0"/>
          <wp:wrapNone/>
          <wp:docPr id="15" name="Рисунок 15" descr="C:\Users\Артём\Downloads\emai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C:\Users\Артём\Downloads\email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9070" cy="179070"/>
                  </a:xfrm>
                  <a:prstGeom prst="rect">
                    <a:avLst/>
                  </a:prstGeom>
                  <a:noFill/>
                  <a:ln>
                    <a:noFill/>
                  </a:ln>
                </pic:spPr>
              </pic:pic>
            </a:graphicData>
          </a:graphic>
        </wp:anchor>
      </w:drawing>
    </w:r>
    <w:r>
      <w:rPr>
        <w:lang w:eastAsia="ru-RU"/>
      </w:rPr>
      <w:drawing>
        <wp:anchor distT="0" distB="0" distL="114300" distR="114300" simplePos="0" relativeHeight="251669504" behindDoc="0" locked="0" layoutInCell="1" allowOverlap="1">
          <wp:simplePos x="0" y="0"/>
          <wp:positionH relativeFrom="column">
            <wp:posOffset>168275</wp:posOffset>
          </wp:positionH>
          <wp:positionV relativeFrom="paragraph">
            <wp:posOffset>134620</wp:posOffset>
          </wp:positionV>
          <wp:extent cx="186055" cy="186055"/>
          <wp:effectExtent l="0" t="0" r="4445" b="4445"/>
          <wp:wrapNone/>
          <wp:docPr id="12" name="Рисунок 12" descr="C:\Users\Артём\Downloads\maps-and-fla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2" descr="C:\Users\Артём\Downloads\maps-and-flag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6055" cy="186055"/>
                  </a:xfrm>
                  <a:prstGeom prst="rect">
                    <a:avLst/>
                  </a:prstGeom>
                  <a:noFill/>
                  <a:ln>
                    <a:noFill/>
                  </a:ln>
                </pic:spPr>
              </pic:pic>
            </a:graphicData>
          </a:graphic>
        </wp:anchor>
      </w:drawing>
    </w:r>
    <w:r>
      <w:rPr>
        <w:rFonts w:ascii="Arial" w:hAnsi="Arial" w:cs="Arial"/>
        <w:sz w:val="16"/>
        <w:szCs w:val="16"/>
        <w:lang w:eastAsia="ru-RU"/>
      </w:rPr>
      <w:drawing>
        <wp:anchor distT="0" distB="0" distL="114300" distR="114300" simplePos="0" relativeHeight="251667456" behindDoc="0" locked="0" layoutInCell="1" allowOverlap="1">
          <wp:simplePos x="0" y="0"/>
          <wp:positionH relativeFrom="margin">
            <wp:posOffset>3274695</wp:posOffset>
          </wp:positionH>
          <wp:positionV relativeFrom="paragraph">
            <wp:posOffset>155575</wp:posOffset>
          </wp:positionV>
          <wp:extent cx="163195" cy="163195"/>
          <wp:effectExtent l="0" t="0" r="8255" b="8255"/>
          <wp:wrapNone/>
          <wp:docPr id="9" name="Рисунок 9" descr="C:\Users\Артём\Downloads\phone-ca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Артём\Downloads\phone-call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63195" cy="163195"/>
                  </a:xfrm>
                  <a:prstGeom prst="rect">
                    <a:avLst/>
                  </a:prstGeom>
                  <a:noFill/>
                  <a:ln>
                    <a:noFill/>
                  </a:ln>
                </pic:spPr>
              </pic:pic>
            </a:graphicData>
          </a:graphic>
        </wp:anchor>
      </w:drawing>
    </w:r>
    <w:r>
      <w:rPr>
        <w:lang w:eastAsia="ru-RU"/>
      </w:rPr>
      <mc:AlternateContent>
        <mc:Choice Requires="wps">
          <w:drawing>
            <wp:anchor distT="45720" distB="45720" distL="114300" distR="114300" simplePos="0" relativeHeight="251666432" behindDoc="0" locked="0" layoutInCell="1" allowOverlap="1">
              <wp:simplePos x="0" y="0"/>
              <wp:positionH relativeFrom="page">
                <wp:posOffset>5821045</wp:posOffset>
              </wp:positionH>
              <wp:positionV relativeFrom="paragraph">
                <wp:posOffset>66040</wp:posOffset>
              </wp:positionV>
              <wp:extent cx="1547495" cy="404495"/>
              <wp:effectExtent l="0" t="0" r="0" b="0"/>
              <wp:wrapNone/>
              <wp:docPr id="6" name="Надпись 6"/>
              <wp:cNvGraphicFramePr/>
              <a:graphic xmlns:a="http://schemas.openxmlformats.org/drawingml/2006/main">
                <a:graphicData uri="http://schemas.microsoft.com/office/word/2010/wordprocessingShape">
                  <wps:wsp>
                    <wps:cNvSpPr txBox="1">
                      <a:spLocks noChangeArrowheads="1"/>
                    </wps:cNvSpPr>
                    <wps:spPr bwMode="auto">
                      <a:xfrm>
                        <a:off x="0" y="0"/>
                        <a:ext cx="154749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wps:txbx>
                    <wps:bodyPr rot="0" vert="horz" wrap="square" lIns="91440" tIns="45720" rIns="91440" bIns="45720" anchor="t" anchorCtr="0">
                      <a:noAutofit/>
                    </wps:bodyPr>
                  </wps:wsp>
                </a:graphicData>
              </a:graphic>
            </wp:anchor>
          </w:drawing>
        </mc:Choice>
        <mc:Fallback>
          <w:pict>
            <v:shape id="Надпись 6" o:spid="_x0000_s1026" o:spt="202" type="#_x0000_t202" style="position:absolute;left:0pt;margin-left:458.35pt;margin-top:5.2pt;height:31.85pt;width:121.85pt;mso-position-horizontal-relative:page;z-index:251666432;mso-width-relative:page;mso-height-relative:page;" filled="f" stroked="f" coordsize="21600,21600" o:gfxdata="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iJcxtUAAAAKAQAADwAAAAAAAAABACAAAAAiAAAAZHJzL2Rvd25yZXYueG1sUEsBAhQAFAAAAAgA&#10;h07iQPNECbwoAgAALgQAAA4AAAAAAAAAAQAgAAAAJAEAAGRycy9lMm9Eb2MueG1sUEsFBgAAAAAG&#10;AAYAWQEAAL4FA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v:textbox>
            </v:shape>
          </w:pict>
        </mc:Fallback>
      </mc:AlternateContent>
    </w:r>
    <w:r>
      <w:rPr>
        <w:lang w:eastAsia="ru-RU"/>
      </w:rPr>
      <mc:AlternateContent>
        <mc:Choice Requires="wps">
          <w:drawing>
            <wp:anchor distT="45720" distB="45720" distL="114300" distR="114300" simplePos="0" relativeHeight="251660288" behindDoc="0" locked="0" layoutInCell="1" allowOverlap="1">
              <wp:simplePos x="0" y="0"/>
              <wp:positionH relativeFrom="page">
                <wp:posOffset>1385570</wp:posOffset>
              </wp:positionH>
              <wp:positionV relativeFrom="paragraph">
                <wp:posOffset>66040</wp:posOffset>
              </wp:positionV>
              <wp:extent cx="2719070" cy="404495"/>
              <wp:effectExtent l="0" t="0" r="0" b="0"/>
              <wp:wrapNone/>
              <wp:docPr id="3"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2719070" cy="404495"/>
                      </a:xfrm>
                      <a:prstGeom prst="rect">
                        <a:avLst/>
                      </a:prstGeom>
                      <a:noFill/>
                      <a:ln w="9525">
                        <a:noFill/>
                        <a:miter lim="800000"/>
                      </a:ln>
                    </wps:spPr>
                    <wps:txb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wps:txbx>
                    <wps:bodyPr rot="0" vert="horz" wrap="square" lIns="91440" tIns="45720" rIns="91440" bIns="45720" anchor="t" anchorCtr="0">
                      <a:noAutofit/>
                    </wps:bodyPr>
                  </wps:wsp>
                </a:graphicData>
              </a:graphic>
            </wp:anchor>
          </w:drawing>
        </mc:Choice>
        <mc:Fallback>
          <w:pict>
            <v:shape id="Надпись 3" o:spid="_x0000_s1026" o:spt="202" type="#_x0000_t202" style="position:absolute;left:0pt;margin-left:109.1pt;margin-top:5.2pt;height:31.85pt;width:214.1pt;mso-position-horizontal-relative:page;z-index:251660288;mso-width-relative:page;mso-height-relative:page;" filled="f" stroked="f" coordsize="21600,21600" o:gfxdata="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IQ0c7rWAAAACQEAAA8AAAAAAAAAAQAgAAAAIgAAAGRycy9kb3ducmV2LnhtbFBLAQIUABQA&#10;AAAIAIdO4kA9ApG1KwIAAC4EAAAOAAAAAAAAAAEAIAAAACUBAABkcnMvZTJvRG9jLnhtbFBLBQYA&#10;AAAABgAGAFkBAADCBQAAAAA=&#10;">
              <v:fill on="f" focussize="0,0"/>
              <v:stroke on="f" miterlimit="8" joinstyle="miter"/>
              <v:imagedata o:title=""/>
              <o:lock v:ext="edit" aspectratio="f"/>
              <v:textbo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v:textbox>
            </v:shape>
          </w:pict>
        </mc:Fallback>
      </mc:AlternateContent>
    </w:r>
    <w:r>
      <w:rPr>
        <w:lang w:eastAsia="ru-RU"/>
      </w:rPr>
      <mc:AlternateContent>
        <mc:Choice Requires="wps">
          <w:drawing>
            <wp:anchor distT="45720" distB="45720" distL="114300" distR="114300" simplePos="0" relativeHeight="251665408" behindDoc="0" locked="0" layoutInCell="1" allowOverlap="1">
              <wp:simplePos x="0" y="0"/>
              <wp:positionH relativeFrom="page">
                <wp:posOffset>4485005</wp:posOffset>
              </wp:positionH>
              <wp:positionV relativeFrom="paragraph">
                <wp:posOffset>66040</wp:posOffset>
              </wp:positionV>
              <wp:extent cx="1190625" cy="404495"/>
              <wp:effectExtent l="0" t="0" r="0" b="0"/>
              <wp:wrapNone/>
              <wp:docPr id="5" name="Надпись 5"/>
              <wp:cNvGraphicFramePr/>
              <a:graphic xmlns:a="http://schemas.openxmlformats.org/drawingml/2006/main">
                <a:graphicData uri="http://schemas.microsoft.com/office/word/2010/wordprocessingShape">
                  <wps:wsp>
                    <wps:cNvSpPr txBox="1">
                      <a:spLocks noChangeArrowheads="1"/>
                    </wps:cNvSpPr>
                    <wps:spPr bwMode="auto">
                      <a:xfrm>
                        <a:off x="0" y="0"/>
                        <a:ext cx="119062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wps:txbx>
                    <wps:bodyPr rot="0" vert="horz" wrap="square" lIns="91440" tIns="45720" rIns="91440" bIns="45720" anchor="t" anchorCtr="0">
                      <a:noAutofit/>
                    </wps:bodyPr>
                  </wps:wsp>
                </a:graphicData>
              </a:graphic>
            </wp:anchor>
          </w:drawing>
        </mc:Choice>
        <mc:Fallback>
          <w:pict>
            <v:shape id="Надпись 5" o:spid="_x0000_s1026" o:spt="202" type="#_x0000_t202" style="position:absolute;left:0pt;margin-left:353.15pt;margin-top:5.2pt;height:31.85pt;width:93.75pt;mso-position-horizontal-relative:page;z-index:251665408;mso-width-relative:page;mso-height-relative:page;" filled="f" stroked="f" coordsize="21600,21600" o:gfxdata="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iFLhTVAAAACQEAAA8AAAAAAAAAAQAgAAAAIgAAAGRycy9kb3ducmV2LnhtbFBLAQIUABQAAAAI&#10;AIdO4kBnMd4ZKQIAAC4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v:textbox>
            </v:shape>
          </w:pict>
        </mc:Fallback>
      </mc:AlternateContent>
    </w:r>
  </w:p>
  <w:p>
    <w:pPr>
      <w:pStyle w:val="6"/>
    </w:pPr>
    <w:r>
      <w:rPr>
        <w:lang w:eastAsia="ru-RU"/>
      </w:rPr>
      <w:drawing>
        <wp:anchor distT="0" distB="0" distL="114300" distR="114300" simplePos="0" relativeHeight="251663360" behindDoc="1" locked="0" layoutInCell="1" allowOverlap="1">
          <wp:simplePos x="0" y="0"/>
          <wp:positionH relativeFrom="page">
            <wp:align>left</wp:align>
          </wp:positionH>
          <wp:positionV relativeFrom="paragraph">
            <wp:posOffset>324485</wp:posOffset>
          </wp:positionV>
          <wp:extent cx="2653030" cy="292735"/>
          <wp:effectExtent l="0" t="0" r="0" b="0"/>
          <wp:wrapNone/>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3030" cy="292781"/>
                  </a:xfrm>
                  <a:prstGeom prst="rect">
                    <a:avLst/>
                  </a:prstGeom>
                  <a:noFill/>
                </pic:spPr>
              </pic:pic>
            </a:graphicData>
          </a:graphic>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rPr>
        <w:rFonts w:ascii="Arial" w:hAnsi="Arial" w:cs="Arial"/>
        <w:sz w:val="16"/>
        <w:szCs w:val="16"/>
      </w:rPr>
    </w:pPr>
    <w:r>
      <w:rPr>
        <w:sz w:val="16"/>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22" name="Текстовое поле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zSVju0AAAAAUBAAAPAAAAAAAAAAEAIAAAACIAAABkcnMvZG93&#10;bnJldi54bWxQSwECFAAUAAAACACHTuJA0UMrg0ECAAB1BAAADgAAAAAAAAABACAAAAAfAQAAZHJz&#10;L2Uyb0RvYy54bWxQSwUGAAAAAAYABgBZAQAA0gUAAAAA&#10;">
              <v:fill on="f" focussize="0,0"/>
              <v:stroke on="f" weight="0.5pt"/>
              <v:imagedata o:title=""/>
              <o:lock v:ext="edit" aspectratio="f"/>
              <v:textbox inset="0mm,0mm,0mm,0mm" style="mso-fit-shape-to-text:t;">
                <w:txbxContent>
                  <w:p>
                    <w:pPr>
                      <w:pStyle w:val="6"/>
                    </w:pPr>
                    <w:r>
                      <w:fldChar w:fldCharType="begin"/>
                    </w:r>
                    <w:r>
                      <w:instrText xml:space="preserve"> PAGE  \* MERGEFORMAT </w:instrText>
                    </w:r>
                    <w:r>
                      <w:fldChar w:fldCharType="separate"/>
                    </w:r>
                    <w:r>
                      <w:t>7</w:t>
                    </w:r>
                    <w:r>
                      <w:fldChar w:fldCharType="end"/>
                    </w:r>
                  </w:p>
                </w:txbxContent>
              </v:textbox>
            </v:shape>
          </w:pict>
        </mc:Fallback>
      </mc:AlternateContent>
    </w:r>
  </w:p>
  <w:p>
    <w:pPr>
      <w:pStyle w:val="6"/>
    </w:pPr>
    <w:r>
      <w:rPr>
        <w:lang w:eastAsia="ru-RU"/>
      </w:rPr>
      <w:drawing>
        <wp:anchor distT="0" distB="0" distL="114300" distR="114300" simplePos="0" relativeHeight="251673600" behindDoc="0" locked="0" layoutInCell="1" allowOverlap="1">
          <wp:simplePos x="0" y="0"/>
          <wp:positionH relativeFrom="column">
            <wp:posOffset>4592320</wp:posOffset>
          </wp:positionH>
          <wp:positionV relativeFrom="paragraph">
            <wp:posOffset>144780</wp:posOffset>
          </wp:positionV>
          <wp:extent cx="179070" cy="179070"/>
          <wp:effectExtent l="0" t="0" r="3810" b="3810"/>
          <wp:wrapNone/>
          <wp:docPr id="14" name="Рисунок 15" descr="C:\Users\Артём\Downloads\email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Рисунок 15" descr="C:\Users\Артём\Downloads\email (2).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179070" cy="179070"/>
                  </a:xfrm>
                  <a:prstGeom prst="rect">
                    <a:avLst/>
                  </a:prstGeom>
                  <a:noFill/>
                  <a:ln>
                    <a:noFill/>
                  </a:ln>
                </pic:spPr>
              </pic:pic>
            </a:graphicData>
          </a:graphic>
        </wp:anchor>
      </w:drawing>
    </w:r>
    <w:r>
      <w:rPr>
        <w:lang w:eastAsia="ru-RU"/>
      </w:rPr>
      <w:drawing>
        <wp:anchor distT="0" distB="0" distL="114300" distR="114300" simplePos="0" relativeHeight="251674624" behindDoc="0" locked="0" layoutInCell="1" allowOverlap="1">
          <wp:simplePos x="0" y="0"/>
          <wp:positionH relativeFrom="column">
            <wp:posOffset>168275</wp:posOffset>
          </wp:positionH>
          <wp:positionV relativeFrom="paragraph">
            <wp:posOffset>134620</wp:posOffset>
          </wp:positionV>
          <wp:extent cx="186055" cy="186055"/>
          <wp:effectExtent l="0" t="0" r="12065" b="12065"/>
          <wp:wrapNone/>
          <wp:docPr id="16" name="Рисунок 12" descr="C:\Users\Артём\Downloads\maps-and-flag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Рисунок 12" descr="C:\Users\Артём\Downloads\maps-and-flags.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a:xfrm>
                    <a:off x="0" y="0"/>
                    <a:ext cx="186055" cy="186055"/>
                  </a:xfrm>
                  <a:prstGeom prst="rect">
                    <a:avLst/>
                  </a:prstGeom>
                  <a:noFill/>
                  <a:ln>
                    <a:noFill/>
                  </a:ln>
                </pic:spPr>
              </pic:pic>
            </a:graphicData>
          </a:graphic>
        </wp:anchor>
      </w:drawing>
    </w:r>
    <w:r>
      <w:rPr>
        <w:rFonts w:ascii="Arial" w:hAnsi="Arial" w:cs="Arial"/>
        <w:sz w:val="16"/>
        <w:szCs w:val="16"/>
        <w:lang w:eastAsia="ru-RU"/>
      </w:rPr>
      <w:drawing>
        <wp:anchor distT="0" distB="0" distL="114300" distR="114300" simplePos="0" relativeHeight="251672576" behindDoc="0" locked="0" layoutInCell="1" allowOverlap="1">
          <wp:simplePos x="0" y="0"/>
          <wp:positionH relativeFrom="margin">
            <wp:posOffset>3274695</wp:posOffset>
          </wp:positionH>
          <wp:positionV relativeFrom="paragraph">
            <wp:posOffset>155575</wp:posOffset>
          </wp:positionV>
          <wp:extent cx="163195" cy="163195"/>
          <wp:effectExtent l="0" t="0" r="4445" b="4445"/>
          <wp:wrapNone/>
          <wp:docPr id="17" name="Рисунок 9" descr="C:\Users\Артём\Downloads\phone-call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Рисунок 9" descr="C:\Users\Артём\Downloads\phone-call (1).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a:xfrm>
                    <a:off x="0" y="0"/>
                    <a:ext cx="163195" cy="163195"/>
                  </a:xfrm>
                  <a:prstGeom prst="rect">
                    <a:avLst/>
                  </a:prstGeom>
                  <a:noFill/>
                  <a:ln>
                    <a:noFill/>
                  </a:ln>
                </pic:spPr>
              </pic:pic>
            </a:graphicData>
          </a:graphic>
        </wp:anchor>
      </w:drawing>
    </w:r>
    <w:r>
      <w:rPr>
        <w:lang w:eastAsia="ru-RU"/>
      </w:rPr>
      <mc:AlternateContent>
        <mc:Choice Requires="wps">
          <w:drawing>
            <wp:anchor distT="45720" distB="45720" distL="114300" distR="114300" simplePos="0" relativeHeight="251671552" behindDoc="0" locked="0" layoutInCell="1" allowOverlap="1">
              <wp:simplePos x="0" y="0"/>
              <wp:positionH relativeFrom="page">
                <wp:posOffset>5821045</wp:posOffset>
              </wp:positionH>
              <wp:positionV relativeFrom="paragraph">
                <wp:posOffset>66040</wp:posOffset>
              </wp:positionV>
              <wp:extent cx="1547495" cy="404495"/>
              <wp:effectExtent l="0" t="0" r="0" b="0"/>
              <wp:wrapNone/>
              <wp:docPr id="18" name="Надпись 6"/>
              <wp:cNvGraphicFramePr/>
              <a:graphic xmlns:a="http://schemas.openxmlformats.org/drawingml/2006/main">
                <a:graphicData uri="http://schemas.microsoft.com/office/word/2010/wordprocessingShape">
                  <wps:wsp>
                    <wps:cNvSpPr txBox="1">
                      <a:spLocks noChangeArrowheads="1"/>
                    </wps:cNvSpPr>
                    <wps:spPr bwMode="auto">
                      <a:xfrm>
                        <a:off x="0" y="0"/>
                        <a:ext cx="154749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wps:txbx>
                    <wps:bodyPr rot="0" vert="horz" wrap="square" lIns="91440" tIns="45720" rIns="91440" bIns="45720" anchor="t" anchorCtr="0">
                      <a:noAutofit/>
                    </wps:bodyPr>
                  </wps:wsp>
                </a:graphicData>
              </a:graphic>
            </wp:anchor>
          </w:drawing>
        </mc:Choice>
        <mc:Fallback>
          <w:pict>
            <v:shape id="Надпись 6" o:spid="_x0000_s1026" o:spt="202" type="#_x0000_t202" style="position:absolute;left:0pt;margin-left:458.35pt;margin-top:5.2pt;height:31.85pt;width:121.85pt;mso-position-horizontal-relative:page;z-index:251671552;mso-width-relative:page;mso-height-relative:page;" filled="f" stroked="f" coordsize="21600,21600" o:gfxdata="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ViJcxtUAAAAKAQAADwAAAAAAAAABACAAAAAiAAAAZHJzL2Rvd25yZXYueG1sUEsBAhQAFAAAAAgA&#10;h07iQCK8XzMoAgAALwQAAA4AAAAAAAAAAQAgAAAAJAEAAGRycy9lMm9Eb2MueG1sUEsFBgAAAAAG&#10;AAYAWQEAAL4FA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lang w:val="en-US"/>
                      </w:rPr>
                      <w:t>e</w:t>
                    </w:r>
                    <w:r>
                      <w:rPr>
                        <w:rFonts w:ascii="Arial" w:hAnsi="Arial" w:cs="Arial"/>
                        <w:b/>
                        <w:sz w:val="16"/>
                        <w:szCs w:val="16"/>
                      </w:rPr>
                      <w:t>-</w:t>
                    </w:r>
                    <w:r>
                      <w:rPr>
                        <w:rFonts w:ascii="Arial" w:hAnsi="Arial" w:cs="Arial"/>
                        <w:b/>
                        <w:sz w:val="16"/>
                        <w:szCs w:val="16"/>
                        <w:lang w:val="en-US"/>
                      </w:rPr>
                      <w:t>mail</w:t>
                    </w:r>
                    <w:r>
                      <w:rPr>
                        <w:rFonts w:ascii="Arial" w:hAnsi="Arial" w:cs="Arial"/>
                        <w:b/>
                        <w:sz w:val="16"/>
                        <w:szCs w:val="16"/>
                      </w:rPr>
                      <w:t xml:space="preserve">: </w:t>
                    </w:r>
                    <w:r>
                      <w:fldChar w:fldCharType="begin"/>
                    </w:r>
                    <w:r>
                      <w:instrText xml:space="preserve"> HYPERLINK "mailto:developmentter@yandex.ru" </w:instrText>
                    </w:r>
                    <w:r>
                      <w:fldChar w:fldCharType="separate"/>
                    </w:r>
                    <w:r>
                      <w:rPr>
                        <w:rStyle w:val="4"/>
                        <w:rFonts w:ascii="Arial" w:hAnsi="Arial" w:cs="Arial"/>
                        <w:color w:val="000000" w:themeColor="text1"/>
                        <w:sz w:val="16"/>
                        <w:szCs w:val="16"/>
                        <w:u w:val="none"/>
                        <w:lang w:val="en-US"/>
                        <w14:textFill>
                          <w14:solidFill>
                            <w14:schemeClr w14:val="tx1"/>
                          </w14:solidFill>
                        </w14:textFill>
                      </w:rPr>
                      <w:t>developmentter</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yandex</w:t>
                    </w:r>
                    <w:r>
                      <w:rPr>
                        <w:rStyle w:val="4"/>
                        <w:rFonts w:ascii="Arial" w:hAnsi="Arial" w:cs="Arial"/>
                        <w:color w:val="000000" w:themeColor="text1"/>
                        <w:sz w:val="16"/>
                        <w:szCs w:val="16"/>
                        <w:u w:val="none"/>
                        <w14:textFill>
                          <w14:solidFill>
                            <w14:schemeClr w14:val="tx1"/>
                          </w14:solidFill>
                        </w14:textFill>
                      </w:rPr>
                      <w:t>.</w:t>
                    </w:r>
                    <w:r>
                      <w:rPr>
                        <w:rStyle w:val="4"/>
                        <w:rFonts w:ascii="Arial" w:hAnsi="Arial" w:cs="Arial"/>
                        <w:color w:val="000000" w:themeColor="text1"/>
                        <w:sz w:val="16"/>
                        <w:szCs w:val="16"/>
                        <w:u w:val="none"/>
                        <w:lang w:val="en-US"/>
                        <w14:textFill>
                          <w14:solidFill>
                            <w14:schemeClr w14:val="tx1"/>
                          </w14:solidFill>
                        </w14:textFill>
                      </w:rPr>
                      <w:t>ru</w:t>
                    </w:r>
                    <w:r>
                      <w:rPr>
                        <w:rStyle w:val="4"/>
                        <w:rFonts w:ascii="Arial" w:hAnsi="Arial" w:cs="Arial"/>
                        <w:color w:val="000000" w:themeColor="text1"/>
                        <w:sz w:val="16"/>
                        <w:szCs w:val="16"/>
                        <w:u w:val="none"/>
                        <w:lang w:val="en-US"/>
                        <w14:textFill>
                          <w14:solidFill>
                            <w14:schemeClr w14:val="tx1"/>
                          </w14:solidFill>
                        </w14:textFill>
                      </w:rPr>
                      <w:fldChar w:fldCharType="end"/>
                    </w:r>
                  </w:p>
                </w:txbxContent>
              </v:textbox>
            </v:shape>
          </w:pict>
        </mc:Fallback>
      </mc:AlternateContent>
    </w:r>
    <w:r>
      <w:rPr>
        <w:lang w:eastAsia="ru-RU"/>
      </w:rPr>
      <mc:AlternateContent>
        <mc:Choice Requires="wps">
          <w:drawing>
            <wp:anchor distT="45720" distB="45720" distL="114300" distR="114300" simplePos="0" relativeHeight="251664384" behindDoc="0" locked="0" layoutInCell="1" allowOverlap="1">
              <wp:simplePos x="0" y="0"/>
              <wp:positionH relativeFrom="page">
                <wp:posOffset>1385570</wp:posOffset>
              </wp:positionH>
              <wp:positionV relativeFrom="paragraph">
                <wp:posOffset>66040</wp:posOffset>
              </wp:positionV>
              <wp:extent cx="2719070" cy="404495"/>
              <wp:effectExtent l="0" t="0" r="0" b="0"/>
              <wp:wrapNone/>
              <wp:docPr id="19" name="Надпись 3"/>
              <wp:cNvGraphicFramePr/>
              <a:graphic xmlns:a="http://schemas.openxmlformats.org/drawingml/2006/main">
                <a:graphicData uri="http://schemas.microsoft.com/office/word/2010/wordprocessingShape">
                  <wps:wsp>
                    <wps:cNvSpPr txBox="1">
                      <a:spLocks noChangeArrowheads="1"/>
                    </wps:cNvSpPr>
                    <wps:spPr bwMode="auto">
                      <a:xfrm>
                        <a:off x="0" y="0"/>
                        <a:ext cx="2719070" cy="404495"/>
                      </a:xfrm>
                      <a:prstGeom prst="rect">
                        <a:avLst/>
                      </a:prstGeom>
                      <a:noFill/>
                      <a:ln w="9525">
                        <a:noFill/>
                        <a:miter lim="800000"/>
                      </a:ln>
                    </wps:spPr>
                    <wps:txb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wps:txbx>
                    <wps:bodyPr rot="0" vert="horz" wrap="square" lIns="91440" tIns="45720" rIns="91440" bIns="45720" anchor="t" anchorCtr="0">
                      <a:noAutofit/>
                    </wps:bodyPr>
                  </wps:wsp>
                </a:graphicData>
              </a:graphic>
            </wp:anchor>
          </w:drawing>
        </mc:Choice>
        <mc:Fallback>
          <w:pict>
            <v:shape id="Надпись 3" o:spid="_x0000_s1026" o:spt="202" type="#_x0000_t202" style="position:absolute;left:0pt;margin-left:109.1pt;margin-top:5.2pt;height:31.85pt;width:214.1pt;mso-position-horizontal-relative:page;z-index:251664384;mso-width-relative:page;mso-height-relative:page;" filled="f" stroked="f" coordsize="21600,21600" o:gfxdata="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hDRzutYAAAAJAQAADwAAAAAAAAABACAAAAAiAAAAZHJzL2Rvd25yZXYueG1sUEsBAhQAFAAA&#10;AAgAh07iQLTmv0sqAgAALwQAAA4AAAAAAAAAAQAgAAAAJQEAAGRycy9lMm9Eb2MueG1sUEsFBgAA&#10;AAAGAAYAWQEAAMEFAAAAAA==&#10;">
              <v:fill on="f" focussize="0,0"/>
              <v:stroke on="f" miterlimit="8" joinstyle="miter"/>
              <v:imagedata o:title=""/>
              <o:lock v:ext="edit" aspectratio="f"/>
              <v:textbox>
                <w:txbxContent>
                  <w:p>
                    <w:pPr>
                      <w:pStyle w:val="11"/>
                      <w:rPr>
                        <w:rFonts w:ascii="Arial" w:hAnsi="Arial" w:cs="Arial"/>
                        <w:sz w:val="16"/>
                        <w:szCs w:val="16"/>
                      </w:rPr>
                    </w:pPr>
                    <w:r>
                      <w:rPr>
                        <w:rFonts w:hint="default" w:ascii="Arial" w:hAnsi="Arial" w:cs="Arial"/>
                        <w:sz w:val="16"/>
                        <w:szCs w:val="16"/>
                        <w:lang w:val="ru-RU"/>
                      </w:rPr>
                      <w:t xml:space="preserve">671838, </w:t>
                    </w:r>
                    <w:r>
                      <w:rPr>
                        <w:rFonts w:ascii="Arial" w:hAnsi="Arial" w:cs="Arial"/>
                        <w:sz w:val="16"/>
                        <w:szCs w:val="16"/>
                      </w:rPr>
                      <w:t xml:space="preserve">ул. </w:t>
                    </w:r>
                    <w:r>
                      <w:rPr>
                        <w:rFonts w:ascii="Arial" w:hAnsi="Arial" w:cs="Arial"/>
                        <w:sz w:val="16"/>
                        <w:szCs w:val="16"/>
                        <w:lang w:val="ru-RU"/>
                      </w:rPr>
                      <w:t>Школьная</w:t>
                    </w:r>
                    <w:r>
                      <w:rPr>
                        <w:rFonts w:ascii="Arial" w:hAnsi="Arial" w:cs="Arial"/>
                        <w:sz w:val="16"/>
                        <w:szCs w:val="16"/>
                      </w:rPr>
                      <w:t xml:space="preserve">, </w:t>
                    </w:r>
                    <w:r>
                      <w:rPr>
                        <w:rFonts w:hint="default" w:ascii="Arial" w:hAnsi="Arial" w:cs="Arial"/>
                        <w:sz w:val="16"/>
                        <w:szCs w:val="16"/>
                        <w:lang w:val="ru-RU"/>
                      </w:rPr>
                      <w:t>24</w:t>
                    </w:r>
                    <w:r>
                      <w:rPr>
                        <w:rFonts w:ascii="Arial" w:hAnsi="Arial" w:cs="Arial"/>
                        <w:sz w:val="16"/>
                        <w:szCs w:val="16"/>
                      </w:rPr>
                      <w:t xml:space="preserve">, </w:t>
                    </w:r>
                    <w:r>
                      <w:rPr>
                        <w:rFonts w:ascii="Arial" w:hAnsi="Arial" w:cs="Arial"/>
                        <w:sz w:val="16"/>
                        <w:szCs w:val="16"/>
                        <w:lang w:val="ru-RU"/>
                      </w:rPr>
                      <w:t>у</w:t>
                    </w:r>
                    <w:r>
                      <w:rPr>
                        <w:rFonts w:hint="default" w:ascii="Arial" w:hAnsi="Arial" w:cs="Arial"/>
                        <w:sz w:val="16"/>
                        <w:szCs w:val="16"/>
                        <w:lang w:val="ru-RU"/>
                      </w:rPr>
                      <w:t>. Мурочи</w:t>
                    </w:r>
                    <w:r>
                      <w:rPr>
                        <w:rFonts w:ascii="Arial" w:hAnsi="Arial" w:cs="Arial"/>
                        <w:sz w:val="16"/>
                        <w:szCs w:val="16"/>
                      </w:rPr>
                      <w:t xml:space="preserve">, </w:t>
                    </w:r>
                  </w:p>
                  <w:p>
                    <w:pPr>
                      <w:pStyle w:val="11"/>
                      <w:rPr>
                        <w:rFonts w:ascii="Arial" w:hAnsi="Arial" w:cs="Arial"/>
                        <w:sz w:val="16"/>
                        <w:szCs w:val="16"/>
                      </w:rPr>
                    </w:pPr>
                    <w:r>
                      <w:rPr>
                        <w:rFonts w:ascii="Arial" w:hAnsi="Arial" w:cs="Arial"/>
                        <w:sz w:val="16"/>
                        <w:szCs w:val="16"/>
                        <w:lang w:val="ru-RU"/>
                      </w:rPr>
                      <w:t>Кяхтинский</w:t>
                    </w:r>
                    <w:r>
                      <w:rPr>
                        <w:rFonts w:ascii="Arial" w:hAnsi="Arial" w:cs="Arial"/>
                        <w:sz w:val="16"/>
                        <w:szCs w:val="16"/>
                      </w:rPr>
                      <w:t xml:space="preserve"> район, Республика Бурятия, Россия</w:t>
                    </w:r>
                  </w:p>
                  <w:p>
                    <w:pPr>
                      <w:jc w:val="right"/>
                      <w:rPr>
                        <w:rFonts w:ascii="Gotham Pro" w:hAnsi="Gotham Pro" w:cs="Gotham Pro"/>
                        <w:b/>
                        <w:sz w:val="16"/>
                        <w:szCs w:val="16"/>
                        <w:lang w:val="en-US"/>
                      </w:rPr>
                    </w:pPr>
                  </w:p>
                </w:txbxContent>
              </v:textbox>
            </v:shape>
          </w:pict>
        </mc:Fallback>
      </mc:AlternateContent>
    </w:r>
    <w:r>
      <w:rPr>
        <w:lang w:eastAsia="ru-RU"/>
      </w:rPr>
      <mc:AlternateContent>
        <mc:Choice Requires="wps">
          <w:drawing>
            <wp:anchor distT="45720" distB="45720" distL="114300" distR="114300" simplePos="0" relativeHeight="251670528" behindDoc="0" locked="0" layoutInCell="1" allowOverlap="1">
              <wp:simplePos x="0" y="0"/>
              <wp:positionH relativeFrom="page">
                <wp:posOffset>4485005</wp:posOffset>
              </wp:positionH>
              <wp:positionV relativeFrom="paragraph">
                <wp:posOffset>66040</wp:posOffset>
              </wp:positionV>
              <wp:extent cx="1190625" cy="404495"/>
              <wp:effectExtent l="0" t="0" r="0" b="0"/>
              <wp:wrapNone/>
              <wp:docPr id="20" name="Надпись 5"/>
              <wp:cNvGraphicFramePr/>
              <a:graphic xmlns:a="http://schemas.openxmlformats.org/drawingml/2006/main">
                <a:graphicData uri="http://schemas.microsoft.com/office/word/2010/wordprocessingShape">
                  <wps:wsp>
                    <wps:cNvSpPr txBox="1">
                      <a:spLocks noChangeArrowheads="1"/>
                    </wps:cNvSpPr>
                    <wps:spPr bwMode="auto">
                      <a:xfrm>
                        <a:off x="0" y="0"/>
                        <a:ext cx="1190625" cy="404495"/>
                      </a:xfrm>
                      <a:prstGeom prst="rect">
                        <a:avLst/>
                      </a:prstGeom>
                      <a:noFill/>
                      <a:ln w="9525">
                        <a:noFill/>
                        <a:miter lim="800000"/>
                      </a:ln>
                    </wps:spPr>
                    <wps:txb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wps:txbx>
                    <wps:bodyPr rot="0" vert="horz" wrap="square" lIns="91440" tIns="45720" rIns="91440" bIns="45720" anchor="t" anchorCtr="0">
                      <a:noAutofit/>
                    </wps:bodyPr>
                  </wps:wsp>
                </a:graphicData>
              </a:graphic>
            </wp:anchor>
          </w:drawing>
        </mc:Choice>
        <mc:Fallback>
          <w:pict>
            <v:shape id="Надпись 5" o:spid="_x0000_s1026" o:spt="202" type="#_x0000_t202" style="position:absolute;left:0pt;margin-left:353.15pt;margin-top:5.2pt;height:31.85pt;width:93.75pt;mso-position-horizontal-relative:page;z-index:251670528;mso-width-relative:page;mso-height-relative:page;" filled="f" stroked="f" coordsize="21600,21600" o:gfxdata="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IiFLhTVAAAACQEAAA8AAAAAAAAAAQAgAAAAIgAAAGRycy9kb3ducmV2LnhtbFBLAQIUABQAAAAI&#10;AIdO4kCHw7KWKQIAAC8EAAAOAAAAAAAAAAEAIAAAACQBAABkcnMvZTJvRG9jLnhtbFBLBQYAAAAA&#10;BgAGAFkBAAC/BQAAAAA=&#10;">
              <v:fill on="f" focussize="0,0"/>
              <v:stroke on="f" miterlimit="8" joinstyle="miter"/>
              <v:imagedata o:title=""/>
              <o:lock v:ext="edit" aspectratio="f"/>
              <v:textbox>
                <w:txbxContent>
                  <w:p>
                    <w:pPr>
                      <w:rPr>
                        <w:rFonts w:ascii="Gotham Pro" w:hAnsi="Gotham Pro" w:cs="Gotham Pro"/>
                        <w:b/>
                        <w:sz w:val="16"/>
                        <w:szCs w:val="16"/>
                        <w:lang w:val="en-US"/>
                      </w:rPr>
                    </w:pPr>
                    <w:r>
                      <w:rPr>
                        <w:rFonts w:ascii="Arial" w:hAnsi="Arial" w:cs="Arial"/>
                        <w:b/>
                        <w:sz w:val="16"/>
                        <w:szCs w:val="16"/>
                      </w:rPr>
                      <w:t>Тел:</w:t>
                    </w:r>
                    <w:r>
                      <w:rPr>
                        <w:rFonts w:ascii="Arial" w:hAnsi="Arial" w:cs="Arial"/>
                        <w:sz w:val="16"/>
                        <w:szCs w:val="16"/>
                      </w:rPr>
                      <w:t xml:space="preserve"> </w:t>
                    </w:r>
                    <w:r>
                      <w:rPr>
                        <w:rFonts w:ascii="Arial" w:hAnsi="Arial" w:cs="Arial"/>
                        <w:sz w:val="16"/>
                        <w:szCs w:val="16"/>
                        <w:lang w:val="en-US"/>
                      </w:rPr>
                      <w:t xml:space="preserve">                          </w:t>
                    </w:r>
                    <w:r>
                      <w:rPr>
                        <w:rFonts w:ascii="Arial" w:hAnsi="Arial" w:cs="Arial"/>
                        <w:sz w:val="16"/>
                        <w:szCs w:val="16"/>
                      </w:rPr>
                      <w:t>+7</w:t>
                    </w:r>
                    <w:r>
                      <w:rPr>
                        <w:rFonts w:ascii="Arial" w:hAnsi="Arial" w:cs="Arial"/>
                        <w:sz w:val="16"/>
                        <w:szCs w:val="16"/>
                        <w:lang w:val="en-US"/>
                      </w:rPr>
                      <w:t xml:space="preserve"> (</w:t>
                    </w:r>
                    <w:r>
                      <w:rPr>
                        <w:rFonts w:ascii="Arial" w:hAnsi="Arial" w:cs="Arial"/>
                        <w:sz w:val="16"/>
                        <w:szCs w:val="16"/>
                      </w:rPr>
                      <w:t>902</w:t>
                    </w:r>
                    <w:r>
                      <w:rPr>
                        <w:rFonts w:ascii="Arial" w:hAnsi="Arial" w:cs="Arial"/>
                        <w:sz w:val="16"/>
                        <w:szCs w:val="16"/>
                        <w:lang w:val="en-US"/>
                      </w:rPr>
                      <w:t xml:space="preserve">) </w:t>
                    </w:r>
                    <w:r>
                      <w:rPr>
                        <w:rFonts w:ascii="Arial" w:hAnsi="Arial" w:cs="Arial"/>
                        <w:sz w:val="16"/>
                        <w:szCs w:val="16"/>
                      </w:rPr>
                      <w:t>167</w:t>
                    </w:r>
                    <w:r>
                      <w:rPr>
                        <w:rFonts w:ascii="Arial" w:hAnsi="Arial" w:cs="Arial"/>
                        <w:sz w:val="16"/>
                        <w:szCs w:val="16"/>
                        <w:lang w:val="en-US"/>
                      </w:rPr>
                      <w:t>-</w:t>
                    </w:r>
                    <w:r>
                      <w:rPr>
                        <w:rFonts w:ascii="Arial" w:hAnsi="Arial" w:cs="Arial"/>
                        <w:sz w:val="16"/>
                        <w:szCs w:val="16"/>
                      </w:rPr>
                      <w:t>45</w:t>
                    </w:r>
                    <w:r>
                      <w:rPr>
                        <w:rFonts w:ascii="Arial" w:hAnsi="Arial" w:cs="Arial"/>
                        <w:sz w:val="16"/>
                        <w:szCs w:val="16"/>
                        <w:lang w:val="en-US"/>
                      </w:rPr>
                      <w:t>-</w:t>
                    </w:r>
                    <w:r>
                      <w:rPr>
                        <w:rFonts w:ascii="Arial" w:hAnsi="Arial" w:cs="Arial"/>
                        <w:sz w:val="16"/>
                        <w:szCs w:val="16"/>
                      </w:rPr>
                      <w:t>35</w:t>
                    </w:r>
                  </w:p>
                </w:txbxContent>
              </v:textbox>
            </v:shape>
          </w:pict>
        </mc:Fallback>
      </mc:AlternateContent>
    </w:r>
  </w:p>
  <w:p>
    <w:pPr>
      <w:pStyle w:val="6"/>
    </w:pPr>
    <w:r>
      <w:rPr>
        <w:lang w:eastAsia="ru-RU"/>
      </w:rPr>
      <w:drawing>
        <wp:anchor distT="0" distB="0" distL="114300" distR="114300" simplePos="0" relativeHeight="251667456" behindDoc="1" locked="0" layoutInCell="1" allowOverlap="1">
          <wp:simplePos x="0" y="0"/>
          <wp:positionH relativeFrom="page">
            <wp:align>left</wp:align>
          </wp:positionH>
          <wp:positionV relativeFrom="paragraph">
            <wp:posOffset>324485</wp:posOffset>
          </wp:positionV>
          <wp:extent cx="2653030" cy="292735"/>
          <wp:effectExtent l="0" t="0" r="13970" b="12065"/>
          <wp:wrapNone/>
          <wp:docPr id="21"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Рисунок 8"/>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a:xfrm>
                    <a:off x="0" y="0"/>
                    <a:ext cx="2653030" cy="292781"/>
                  </a:xfrm>
                  <a:prstGeom prst="rect">
                    <a:avLst/>
                  </a:prstGeom>
                  <a:noFill/>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pict>
        <v:shape id="_x0000_s2058" o:spid="_x0000_s2058" o:spt="75" type="#_x0000_t75" style="position:absolute;left:0pt;margin-left:-10.3pt;margin-top:-1.55pt;height:60.8pt;width:178.8pt;z-index:-251652096;mso-width-relative:page;mso-height-relative:page;" filled="f" o:preferrelative="t" stroked="f" coordsize="21600,21600">
          <v:path/>
          <v:fill on="f" focussize="0,0"/>
          <v:stroke on="f" joinstyle="miter"/>
          <v:imagedata r:id="rId1" o:title="НА ПРОЗРАЧНОМ ФОНЕ 4"/>
          <o:lock v:ext="edit" aspectratio="t"/>
        </v:shape>
      </w:pict>
    </w:r>
    <w:r>
      <w:rPr>
        <w:lang w:eastAsia="ru-RU"/>
      </w:rPr>
      <mc:AlternateContent>
        <mc:Choice Requires="wps">
          <w:drawing>
            <wp:anchor distT="45720" distB="45720" distL="114300" distR="114300" simplePos="0" relativeHeight="251661312" behindDoc="0" locked="0" layoutInCell="1" allowOverlap="1">
              <wp:simplePos x="0" y="0"/>
              <wp:positionH relativeFrom="column">
                <wp:posOffset>3996055</wp:posOffset>
              </wp:positionH>
              <wp:positionV relativeFrom="paragraph">
                <wp:posOffset>67945</wp:posOffset>
              </wp:positionV>
              <wp:extent cx="2109470" cy="638175"/>
              <wp:effectExtent l="0" t="0" r="0" b="0"/>
              <wp:wrapSquare wrapText="bothSides"/>
              <wp:docPr id="217" name="Надпись 2"/>
              <wp:cNvGraphicFramePr/>
              <a:graphic xmlns:a="http://schemas.openxmlformats.org/drawingml/2006/main">
                <a:graphicData uri="http://schemas.microsoft.com/office/word/2010/wordprocessingShape">
                  <wps:wsp>
                    <wps:cNvSpPr txBox="1">
                      <a:spLocks noChangeArrowheads="1"/>
                    </wps:cNvSpPr>
                    <wps:spPr bwMode="auto">
                      <a:xfrm>
                        <a:off x="0" y="0"/>
                        <a:ext cx="2109470" cy="638175"/>
                      </a:xfrm>
                      <a:prstGeom prst="rect">
                        <a:avLst/>
                      </a:prstGeom>
                      <a:noFill/>
                      <a:ln w="9525">
                        <a:noFill/>
                        <a:miter lim="800000"/>
                      </a:ln>
                    </wps:spPr>
                    <wps:txbx>
                      <w:txbxContent>
                        <w:p>
                          <w:pPr>
                            <w:pStyle w:val="11"/>
                            <w:rPr>
                              <w:rFonts w:ascii="Arial" w:hAnsi="Arial" w:cs="Arial"/>
                              <w:b/>
                              <w:bCs/>
                              <w:sz w:val="16"/>
                              <w:szCs w:val="16"/>
                            </w:rPr>
                          </w:pPr>
                          <w:r>
                            <w:rPr>
                              <w:rFonts w:ascii="Arial" w:hAnsi="Arial" w:cs="Arial"/>
                              <w:b/>
                              <w:bCs/>
                              <w:sz w:val="16"/>
                              <w:szCs w:val="16"/>
                            </w:rPr>
                            <w:t>ОБЩЕСТВО С ОГРАНИЧЕННОЙ ОТВЕТСТВЕННОСТЬЮ</w:t>
                          </w:r>
                        </w:p>
                        <w:p>
                          <w:pPr>
                            <w:pStyle w:val="11"/>
                            <w:rPr>
                              <w:rFonts w:ascii="Arial" w:hAnsi="Arial" w:cs="Arial"/>
                              <w:b/>
                              <w:bCs/>
                              <w:sz w:val="16"/>
                              <w:szCs w:val="16"/>
                            </w:rPr>
                          </w:pPr>
                          <w:r>
                            <w:rPr>
                              <w:rFonts w:ascii="Arial" w:hAnsi="Arial" w:cs="Arial"/>
                              <w:b/>
                              <w:bCs/>
                              <w:sz w:val="16"/>
                              <w:szCs w:val="16"/>
                            </w:rPr>
                            <w:t>«ТЕРРИТОРИИ РАЗВИТИЯ»</w:t>
                          </w:r>
                        </w:p>
                        <w:p>
                          <w:pPr>
                            <w:pStyle w:val="11"/>
                            <w:rPr>
                              <w:rFonts w:ascii="Arial" w:hAnsi="Arial" w:cs="Arial"/>
                              <w:sz w:val="16"/>
                              <w:szCs w:val="16"/>
                            </w:rPr>
                          </w:pPr>
                          <w:r>
                            <w:rPr>
                              <w:rFonts w:ascii="Arial" w:hAnsi="Arial" w:cs="Arial"/>
                              <w:b/>
                              <w:sz w:val="16"/>
                              <w:szCs w:val="16"/>
                            </w:rPr>
                            <w:t xml:space="preserve">ОГРН </w:t>
                          </w:r>
                          <w:r>
                            <w:rPr>
                              <w:rFonts w:ascii="Arial" w:hAnsi="Arial" w:cs="Arial"/>
                              <w:sz w:val="16"/>
                              <w:szCs w:val="16"/>
                            </w:rPr>
                            <w:t xml:space="preserve">1230300001645 </w:t>
                          </w:r>
                          <w:r>
                            <w:rPr>
                              <w:rFonts w:ascii="Arial" w:hAnsi="Arial" w:cs="Arial"/>
                              <w:b/>
                              <w:sz w:val="16"/>
                              <w:szCs w:val="16"/>
                            </w:rPr>
                            <w:t xml:space="preserve">ИНН </w:t>
                          </w:r>
                          <w:r>
                            <w:rPr>
                              <w:rFonts w:ascii="Arial" w:hAnsi="Arial" w:cs="Arial"/>
                              <w:sz w:val="16"/>
                              <w:szCs w:val="16"/>
                            </w:rPr>
                            <w:t>0300012222</w:t>
                          </w:r>
                        </w:p>
                        <w:p>
                          <w:pPr>
                            <w:pStyle w:val="11"/>
                            <w:rPr>
                              <w:rFonts w:ascii="Arial" w:hAnsi="Arial" w:cs="Arial"/>
                              <w:b/>
                              <w:bCs/>
                              <w:sz w:val="16"/>
                              <w:szCs w:val="16"/>
                              <w:lang w:val="en-US"/>
                            </w:rPr>
                          </w:pPr>
                        </w:p>
                        <w:p>
                          <w:pPr>
                            <w:rPr>
                              <w:rFonts w:ascii="Arial" w:hAnsi="Arial" w:cs="Arial"/>
                              <w:b/>
                              <w:sz w:val="16"/>
                              <w:szCs w:val="16"/>
                            </w:rPr>
                          </w:pPr>
                        </w:p>
                      </w:txbxContent>
                    </wps:txbx>
                    <wps:bodyPr rot="0" vert="horz" wrap="square" lIns="91440" tIns="45720" rIns="91440" bIns="45720" anchor="t" anchorCtr="0">
                      <a:noAutofit/>
                    </wps:bodyPr>
                  </wps:wsp>
                </a:graphicData>
              </a:graphic>
            </wp:anchor>
          </w:drawing>
        </mc:Choice>
        <mc:Fallback>
          <w:pict>
            <v:shape id="Надпись 2" o:spid="_x0000_s1026" o:spt="202" type="#_x0000_t202" style="position:absolute;left:0pt;margin-left:314.65pt;margin-top:5.35pt;height:50.25pt;width:166.1pt;mso-wrap-distance-bottom:3.6pt;mso-wrap-distance-left:9pt;mso-wrap-distance-right:9pt;mso-wrap-distance-top:3.6pt;z-index:251661312;mso-width-relative:page;mso-height-relative:page;" filled="f" stroked="f" coordsize="21600,21600" o:gfxdata="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00b5m1gAAAAoBAAAPAAAAAAAAAAEAIAAAACIAAABkcnMvZG93bnJldi54bWxQSwECFAAU&#10;AAAACACHTuJArK/hbiwCAAAwBAAADgAAAAAAAAABACAAAAAlAQAAZHJzL2Uyb0RvYy54bWxQSwUG&#10;AAAAAAYABgBZAQAAwwUAAAAA&#10;">
              <v:fill on="f" focussize="0,0"/>
              <v:stroke on="f" miterlimit="8" joinstyle="miter"/>
              <v:imagedata o:title=""/>
              <o:lock v:ext="edit" aspectratio="f"/>
              <v:textbox>
                <w:txbxContent>
                  <w:p>
                    <w:pPr>
                      <w:pStyle w:val="11"/>
                      <w:rPr>
                        <w:rFonts w:ascii="Arial" w:hAnsi="Arial" w:cs="Arial"/>
                        <w:b/>
                        <w:bCs/>
                        <w:sz w:val="16"/>
                        <w:szCs w:val="16"/>
                      </w:rPr>
                    </w:pPr>
                    <w:r>
                      <w:rPr>
                        <w:rFonts w:ascii="Arial" w:hAnsi="Arial" w:cs="Arial"/>
                        <w:b/>
                        <w:bCs/>
                        <w:sz w:val="16"/>
                        <w:szCs w:val="16"/>
                      </w:rPr>
                      <w:t>ОБЩЕСТВО С ОГРАНИЧЕННОЙ ОТВЕТСТВЕННОСТЬЮ</w:t>
                    </w:r>
                  </w:p>
                  <w:p>
                    <w:pPr>
                      <w:pStyle w:val="11"/>
                      <w:rPr>
                        <w:rFonts w:ascii="Arial" w:hAnsi="Arial" w:cs="Arial"/>
                        <w:b/>
                        <w:bCs/>
                        <w:sz w:val="16"/>
                        <w:szCs w:val="16"/>
                      </w:rPr>
                    </w:pPr>
                    <w:r>
                      <w:rPr>
                        <w:rFonts w:ascii="Arial" w:hAnsi="Arial" w:cs="Arial"/>
                        <w:b/>
                        <w:bCs/>
                        <w:sz w:val="16"/>
                        <w:szCs w:val="16"/>
                      </w:rPr>
                      <w:t>«ТЕРРИТОРИИ РАЗВИТИЯ»</w:t>
                    </w:r>
                  </w:p>
                  <w:p>
                    <w:pPr>
                      <w:pStyle w:val="11"/>
                      <w:rPr>
                        <w:rFonts w:ascii="Arial" w:hAnsi="Arial" w:cs="Arial"/>
                        <w:sz w:val="16"/>
                        <w:szCs w:val="16"/>
                      </w:rPr>
                    </w:pPr>
                    <w:r>
                      <w:rPr>
                        <w:rFonts w:ascii="Arial" w:hAnsi="Arial" w:cs="Arial"/>
                        <w:b/>
                        <w:sz w:val="16"/>
                        <w:szCs w:val="16"/>
                      </w:rPr>
                      <w:t xml:space="preserve">ОГРН </w:t>
                    </w:r>
                    <w:r>
                      <w:rPr>
                        <w:rFonts w:ascii="Arial" w:hAnsi="Arial" w:cs="Arial"/>
                        <w:sz w:val="16"/>
                        <w:szCs w:val="16"/>
                      </w:rPr>
                      <w:t xml:space="preserve">1230300001645 </w:t>
                    </w:r>
                    <w:r>
                      <w:rPr>
                        <w:rFonts w:ascii="Arial" w:hAnsi="Arial" w:cs="Arial"/>
                        <w:b/>
                        <w:sz w:val="16"/>
                        <w:szCs w:val="16"/>
                      </w:rPr>
                      <w:t xml:space="preserve">ИНН </w:t>
                    </w:r>
                    <w:r>
                      <w:rPr>
                        <w:rFonts w:ascii="Arial" w:hAnsi="Arial" w:cs="Arial"/>
                        <w:sz w:val="16"/>
                        <w:szCs w:val="16"/>
                      </w:rPr>
                      <w:t>0300012222</w:t>
                    </w:r>
                  </w:p>
                  <w:p>
                    <w:pPr>
                      <w:pStyle w:val="11"/>
                      <w:rPr>
                        <w:rFonts w:ascii="Arial" w:hAnsi="Arial" w:cs="Arial"/>
                        <w:b/>
                        <w:bCs/>
                        <w:sz w:val="16"/>
                        <w:szCs w:val="16"/>
                        <w:lang w:val="en-US"/>
                      </w:rPr>
                    </w:pPr>
                  </w:p>
                  <w:p>
                    <w:pPr>
                      <w:rPr>
                        <w:rFonts w:ascii="Arial" w:hAnsi="Arial" w:cs="Arial"/>
                        <w:b/>
                        <w:sz w:val="16"/>
                        <w:szCs w:val="16"/>
                      </w:rPr>
                    </w:pPr>
                  </w:p>
                </w:txbxContent>
              </v:textbox>
              <w10:wrap type="square"/>
            </v:shape>
          </w:pict>
        </mc:Fallback>
      </mc:AlternateContent>
    </w:r>
    <w:r>
      <w:rPr>
        <w:lang w:eastAsia="ru-RU"/>
      </w:rPr>
      <w:drawing>
        <wp:anchor distT="0" distB="0" distL="114300" distR="114300" simplePos="0" relativeHeight="251659264" behindDoc="1" locked="0" layoutInCell="1" allowOverlap="1">
          <wp:simplePos x="0" y="0"/>
          <wp:positionH relativeFrom="page">
            <wp:posOffset>4940935</wp:posOffset>
          </wp:positionH>
          <wp:positionV relativeFrom="paragraph">
            <wp:posOffset>-449580</wp:posOffset>
          </wp:positionV>
          <wp:extent cx="2653030" cy="294005"/>
          <wp:effectExtent l="0" t="0" r="0" b="0"/>
          <wp:wrapNone/>
          <wp:docPr id="199" name="Рисунок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Рисунок 199"/>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653243" cy="294005"/>
                  </a:xfrm>
                  <a:prstGeom prst="rect">
                    <a:avLst/>
                  </a:prstGeom>
                  <a:noFill/>
                </pic:spPr>
              </pic:pic>
            </a:graphicData>
          </a:graphic>
        </wp:anchor>
      </w:drawing>
    </w:r>
  </w:p>
  <w:p>
    <w:pPr>
      <w:pStyle w:val="5"/>
    </w:pPr>
    <w:r>
      <w:rPr>
        <w:lang w:eastAsia="ru-RU"/>
      </w:rPr>
      <mc:AlternateContent>
        <mc:Choice Requires="wps">
          <w:drawing>
            <wp:anchor distT="0" distB="0" distL="114300" distR="114300" simplePos="0" relativeHeight="251662336" behindDoc="0" locked="0" layoutInCell="1" allowOverlap="1">
              <wp:simplePos x="0" y="0"/>
              <wp:positionH relativeFrom="column">
                <wp:posOffset>-577215</wp:posOffset>
              </wp:positionH>
              <wp:positionV relativeFrom="paragraph">
                <wp:posOffset>620395</wp:posOffset>
              </wp:positionV>
              <wp:extent cx="6603365" cy="0"/>
              <wp:effectExtent l="0" t="0" r="26035" b="19050"/>
              <wp:wrapNone/>
              <wp:docPr id="7" name="Прямая соединительная линия 7"/>
              <wp:cNvGraphicFramePr/>
              <a:graphic xmlns:a="http://schemas.openxmlformats.org/drawingml/2006/main">
                <a:graphicData uri="http://schemas.microsoft.com/office/word/2010/wordprocessingShape">
                  <wps:wsp>
                    <wps:cNvCnPr/>
                    <wps:spPr>
                      <a:xfrm>
                        <a:off x="0" y="0"/>
                        <a:ext cx="66033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Прямая соединительная линия 7" o:spid="_x0000_s1026" o:spt="20" style="position:absolute;left:0pt;margin-left:-45.45pt;margin-top:48.85pt;height:0pt;width:519.95pt;z-index:251662336;mso-width-relative:page;mso-height-relative:page;" filled="f" stroked="t" coordsize="21600,21600" o:gfxdata="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HOPo3tYAAAAJAQAADwAAAAAAAAABACAAAAAiAAAAZHJzL2Rvd25y&#10;ZXYueG1sUEsBAhQAFAAAAAgAh07iQJziIMoAAgAA1gMAAA4AAAAAAAAAAQAgAAAAJQEAAGRycy9l&#10;Mm9Eb2MueG1sUEsFBgAAAAAGAAYAWQEAAJcFAAAAAA==&#10;">
              <v:fill on="f" focussize="0,0"/>
              <v:stroke weight="0.5pt" color="#000000 [3200]" miterlimit="8" joinstyle="miter"/>
              <v:imagedata o:title=""/>
              <o:lock v:ext="edit" aspectratio="f"/>
            </v:line>
          </w:pict>
        </mc:Fallback>
      </mc:AlternateContent>
    </w:r>
    <w:r>
      <w:pict>
        <v:shape id="_x0000_s2059" o:spid="_x0000_s2059" o:spt="75" type="#_x0000_t75" style="position:absolute;left:0pt;margin-left:140.4pt;margin-top:246.3pt;height:152.15pt;width:152.15pt;mso-position-horizontal-relative:margin;mso-position-vertical-relative:margin;z-index:-251645952;mso-width-relative:page;mso-height-relative:page;" filled="f" o:preferrelative="t" stroked="f" coordsize="21600,21600">
          <v:path/>
          <v:fill on="f" focussize="0,0"/>
          <v:stroke on="f" joinstyle="miter"/>
          <v:imagedata r:id="rId3" o:title="grey 2"/>
          <o:lock v:ext="edit" aspectratio="t"/>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620FE3"/>
    <w:multiLevelType w:val="singleLevel"/>
    <w:tmpl w:val="A7620FE3"/>
    <w:lvl w:ilvl="0" w:tentative="0">
      <w:start w:val="1"/>
      <w:numFmt w:val="decimal"/>
      <w:suff w:val="space"/>
      <w:lvlText w:val="%1."/>
      <w:lvlJc w:val="left"/>
    </w:lvl>
  </w:abstractNum>
  <w:abstractNum w:abstractNumId="1">
    <w:nsid w:val="00D818E3"/>
    <w:multiLevelType w:val="multilevel"/>
    <w:tmpl w:val="00D818E3"/>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0E057D21"/>
    <w:multiLevelType w:val="multilevel"/>
    <w:tmpl w:val="0E057D21"/>
    <w:lvl w:ilvl="0" w:tentative="0">
      <w:start w:val="1"/>
      <w:numFmt w:val="decimal"/>
      <w:lvlText w:val="%1."/>
      <w:lvlJc w:val="left"/>
      <w:pPr>
        <w:ind w:left="432" w:hanging="432"/>
      </w:pPr>
      <w:rPr>
        <w:rFonts w:hint="default"/>
      </w:rPr>
    </w:lvl>
    <w:lvl w:ilvl="1" w:tentative="0">
      <w:start w:val="1"/>
      <w:numFmt w:val="decimal"/>
      <w:lvlText w:val="%1.%2."/>
      <w:lvlJc w:val="left"/>
      <w:pPr>
        <w:ind w:left="1287" w:hanging="720"/>
      </w:pPr>
      <w:rPr>
        <w:rFonts w:hint="default"/>
      </w:rPr>
    </w:lvl>
    <w:lvl w:ilvl="2" w:tentative="0">
      <w:start w:val="1"/>
      <w:numFmt w:val="decimal"/>
      <w:lvlText w:val="%1.%2.%3."/>
      <w:lvlJc w:val="left"/>
      <w:pPr>
        <w:ind w:left="1147" w:hanging="720"/>
      </w:pPr>
      <w:rPr>
        <w:rFonts w:hint="default"/>
      </w:rPr>
    </w:lvl>
    <w:lvl w:ilvl="3" w:tentative="0">
      <w:start w:val="1"/>
      <w:numFmt w:val="decimal"/>
      <w:lvlText w:val="%1.%2.%3.%4."/>
      <w:lvlJc w:val="left"/>
      <w:pPr>
        <w:ind w:left="2781" w:hanging="1080"/>
      </w:pPr>
      <w:rPr>
        <w:rFonts w:hint="default"/>
      </w:rPr>
    </w:lvl>
    <w:lvl w:ilvl="4" w:tentative="0">
      <w:start w:val="1"/>
      <w:numFmt w:val="decimal"/>
      <w:lvlText w:val="%1.%2.%3.%4.%5."/>
      <w:lvlJc w:val="left"/>
      <w:pPr>
        <w:ind w:left="3348" w:hanging="1080"/>
      </w:pPr>
      <w:rPr>
        <w:rFonts w:hint="default"/>
      </w:rPr>
    </w:lvl>
    <w:lvl w:ilvl="5" w:tentative="0">
      <w:start w:val="1"/>
      <w:numFmt w:val="decimal"/>
      <w:lvlText w:val="%1.%2.%3.%4.%5.%6."/>
      <w:lvlJc w:val="left"/>
      <w:pPr>
        <w:ind w:left="4275" w:hanging="1440"/>
      </w:pPr>
      <w:rPr>
        <w:rFonts w:hint="default"/>
      </w:rPr>
    </w:lvl>
    <w:lvl w:ilvl="6" w:tentative="0">
      <w:start w:val="1"/>
      <w:numFmt w:val="decimal"/>
      <w:lvlText w:val="%1.%2.%3.%4.%5.%6.%7."/>
      <w:lvlJc w:val="left"/>
      <w:pPr>
        <w:ind w:left="5202" w:hanging="1800"/>
      </w:pPr>
      <w:rPr>
        <w:rFonts w:hint="default"/>
      </w:rPr>
    </w:lvl>
    <w:lvl w:ilvl="7" w:tentative="0">
      <w:start w:val="1"/>
      <w:numFmt w:val="decimal"/>
      <w:lvlText w:val="%1.%2.%3.%4.%5.%6.%7.%8."/>
      <w:lvlJc w:val="left"/>
      <w:pPr>
        <w:ind w:left="5769" w:hanging="1800"/>
      </w:pPr>
      <w:rPr>
        <w:rFonts w:hint="default"/>
      </w:rPr>
    </w:lvl>
    <w:lvl w:ilvl="8" w:tentative="0">
      <w:start w:val="1"/>
      <w:numFmt w:val="decimal"/>
      <w:lvlText w:val="%1.%2.%3.%4.%5.%6.%7.%8.%9."/>
      <w:lvlJc w:val="left"/>
      <w:pPr>
        <w:ind w:left="6696" w:hanging="2160"/>
      </w:pPr>
      <w:rPr>
        <w:rFonts w:hint="default"/>
      </w:rPr>
    </w:lvl>
  </w:abstractNum>
  <w:abstractNum w:abstractNumId="3">
    <w:nsid w:val="0F48662F"/>
    <w:multiLevelType w:val="multilevel"/>
    <w:tmpl w:val="0F48662F"/>
    <w:lvl w:ilvl="0" w:tentative="0">
      <w:start w:val="1"/>
      <w:numFmt w:val="decimal"/>
      <w:lvlText w:val="%1)"/>
      <w:lvlJc w:val="left"/>
      <w:pPr>
        <w:ind w:left="1080" w:hanging="360"/>
      </w:pPr>
      <w:rPr>
        <w:rFonts w:hint="default"/>
      </w:rPr>
    </w:lvl>
    <w:lvl w:ilvl="1" w:tentative="0">
      <w:start w:val="1"/>
      <w:numFmt w:val="lowerLetter"/>
      <w:lvlText w:val="%2."/>
      <w:lvlJc w:val="left"/>
      <w:pPr>
        <w:ind w:left="1800" w:hanging="360"/>
      </w:pPr>
    </w:lvl>
    <w:lvl w:ilvl="2" w:tentative="0">
      <w:start w:val="1"/>
      <w:numFmt w:val="lowerRoman"/>
      <w:lvlText w:val="%3."/>
      <w:lvlJc w:val="right"/>
      <w:pPr>
        <w:ind w:left="2520" w:hanging="180"/>
      </w:pPr>
    </w:lvl>
    <w:lvl w:ilvl="3" w:tentative="0">
      <w:start w:val="1"/>
      <w:numFmt w:val="decimal"/>
      <w:lvlText w:val="%4."/>
      <w:lvlJc w:val="left"/>
      <w:pPr>
        <w:ind w:left="3240" w:hanging="360"/>
      </w:pPr>
    </w:lvl>
    <w:lvl w:ilvl="4" w:tentative="0">
      <w:start w:val="1"/>
      <w:numFmt w:val="lowerLetter"/>
      <w:lvlText w:val="%5."/>
      <w:lvlJc w:val="left"/>
      <w:pPr>
        <w:ind w:left="3960" w:hanging="360"/>
      </w:pPr>
    </w:lvl>
    <w:lvl w:ilvl="5" w:tentative="0">
      <w:start w:val="1"/>
      <w:numFmt w:val="lowerRoman"/>
      <w:lvlText w:val="%6."/>
      <w:lvlJc w:val="right"/>
      <w:pPr>
        <w:ind w:left="4680" w:hanging="180"/>
      </w:pPr>
    </w:lvl>
    <w:lvl w:ilvl="6" w:tentative="0">
      <w:start w:val="1"/>
      <w:numFmt w:val="decimal"/>
      <w:lvlText w:val="%7."/>
      <w:lvlJc w:val="left"/>
      <w:pPr>
        <w:ind w:left="5400" w:hanging="360"/>
      </w:pPr>
    </w:lvl>
    <w:lvl w:ilvl="7" w:tentative="0">
      <w:start w:val="1"/>
      <w:numFmt w:val="lowerLetter"/>
      <w:lvlText w:val="%8."/>
      <w:lvlJc w:val="left"/>
      <w:pPr>
        <w:ind w:left="6120" w:hanging="360"/>
      </w:pPr>
    </w:lvl>
    <w:lvl w:ilvl="8" w:tentative="0">
      <w:start w:val="1"/>
      <w:numFmt w:val="lowerRoman"/>
      <w:lvlText w:val="%9."/>
      <w:lvlJc w:val="right"/>
      <w:pPr>
        <w:ind w:left="6840" w:hanging="180"/>
      </w:pPr>
    </w:lvl>
  </w:abstractNum>
  <w:abstractNum w:abstractNumId="4">
    <w:nsid w:val="13AF4241"/>
    <w:multiLevelType w:val="multilevel"/>
    <w:tmpl w:val="13AF4241"/>
    <w:lvl w:ilvl="0" w:tentative="0">
      <w:start w:val="1"/>
      <w:numFmt w:val="decimal"/>
      <w:lvlText w:val="%1."/>
      <w:lvlJc w:val="left"/>
      <w:pPr>
        <w:ind w:left="360" w:hanging="360"/>
      </w:pPr>
      <w:rPr>
        <w:rFonts w:hint="default"/>
      </w:rPr>
    </w:lvl>
    <w:lvl w:ilvl="1" w:tentative="0">
      <w:start w:val="1"/>
      <w:numFmt w:val="decimal"/>
      <w:lvlText w:val="%1.%2."/>
      <w:lvlJc w:val="left"/>
      <w:pPr>
        <w:ind w:left="570" w:hanging="36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350" w:hanging="720"/>
      </w:pPr>
      <w:rPr>
        <w:rFonts w:hint="default"/>
      </w:rPr>
    </w:lvl>
    <w:lvl w:ilvl="4" w:tentative="0">
      <w:start w:val="1"/>
      <w:numFmt w:val="decimal"/>
      <w:lvlText w:val="%1.%2.%3.%4.%5."/>
      <w:lvlJc w:val="left"/>
      <w:pPr>
        <w:ind w:left="1920" w:hanging="1080"/>
      </w:pPr>
      <w:rPr>
        <w:rFonts w:hint="default"/>
      </w:rPr>
    </w:lvl>
    <w:lvl w:ilvl="5" w:tentative="0">
      <w:start w:val="1"/>
      <w:numFmt w:val="decimal"/>
      <w:lvlText w:val="%1.%2.%3.%4.%5.%6."/>
      <w:lvlJc w:val="left"/>
      <w:pPr>
        <w:ind w:left="2130" w:hanging="1080"/>
      </w:pPr>
      <w:rPr>
        <w:rFonts w:hint="default"/>
      </w:rPr>
    </w:lvl>
    <w:lvl w:ilvl="6" w:tentative="0">
      <w:start w:val="1"/>
      <w:numFmt w:val="decimal"/>
      <w:lvlText w:val="%1.%2.%3.%4.%5.%6.%7."/>
      <w:lvlJc w:val="left"/>
      <w:pPr>
        <w:ind w:left="2700" w:hanging="1440"/>
      </w:pPr>
      <w:rPr>
        <w:rFonts w:hint="default"/>
      </w:rPr>
    </w:lvl>
    <w:lvl w:ilvl="7" w:tentative="0">
      <w:start w:val="1"/>
      <w:numFmt w:val="decimal"/>
      <w:lvlText w:val="%1.%2.%3.%4.%5.%6.%7.%8."/>
      <w:lvlJc w:val="left"/>
      <w:pPr>
        <w:ind w:left="2910" w:hanging="1440"/>
      </w:pPr>
      <w:rPr>
        <w:rFonts w:hint="default"/>
      </w:rPr>
    </w:lvl>
    <w:lvl w:ilvl="8" w:tentative="0">
      <w:start w:val="1"/>
      <w:numFmt w:val="decimal"/>
      <w:lvlText w:val="%1.%2.%3.%4.%5.%6.%7.%8.%9."/>
      <w:lvlJc w:val="left"/>
      <w:pPr>
        <w:ind w:left="3480" w:hanging="1800"/>
      </w:pPr>
      <w:rPr>
        <w:rFonts w:hint="default"/>
      </w:rPr>
    </w:lvl>
  </w:abstractNum>
  <w:abstractNum w:abstractNumId="5">
    <w:nsid w:val="21190335"/>
    <w:multiLevelType w:val="multilevel"/>
    <w:tmpl w:val="21190335"/>
    <w:lvl w:ilvl="0" w:tentative="0">
      <w:start w:val="2"/>
      <w:numFmt w:val="decimal"/>
      <w:lvlText w:val="%1."/>
      <w:lvlJc w:val="left"/>
      <w:pPr>
        <w:ind w:left="675" w:hanging="675"/>
      </w:pPr>
      <w:rPr>
        <w:rFonts w:hint="default"/>
      </w:rPr>
    </w:lvl>
    <w:lvl w:ilvl="1" w:tentative="0">
      <w:start w:val="7"/>
      <w:numFmt w:val="decimal"/>
      <w:lvlText w:val="%1.%2."/>
      <w:lvlJc w:val="left"/>
      <w:pPr>
        <w:ind w:left="1003" w:hanging="720"/>
      </w:pPr>
      <w:rPr>
        <w:rFonts w:hint="default"/>
      </w:rPr>
    </w:lvl>
    <w:lvl w:ilvl="2" w:tentative="0">
      <w:start w:val="3"/>
      <w:numFmt w:val="decimal"/>
      <w:lvlText w:val="%1.%2.%3."/>
      <w:lvlJc w:val="left"/>
      <w:pPr>
        <w:ind w:left="1286" w:hanging="720"/>
      </w:pPr>
      <w:rPr>
        <w:rFonts w:hint="default"/>
      </w:rPr>
    </w:lvl>
    <w:lvl w:ilvl="3" w:tentative="0">
      <w:start w:val="1"/>
      <w:numFmt w:val="decimal"/>
      <w:lvlText w:val="%1.%2.%3.%4."/>
      <w:lvlJc w:val="left"/>
      <w:pPr>
        <w:ind w:left="1929" w:hanging="1080"/>
      </w:pPr>
      <w:rPr>
        <w:rFonts w:hint="default"/>
      </w:rPr>
    </w:lvl>
    <w:lvl w:ilvl="4" w:tentative="0">
      <w:start w:val="1"/>
      <w:numFmt w:val="decimal"/>
      <w:lvlText w:val="%1.%2.%3.%4.%5."/>
      <w:lvlJc w:val="left"/>
      <w:pPr>
        <w:ind w:left="2212" w:hanging="1080"/>
      </w:pPr>
      <w:rPr>
        <w:rFonts w:hint="default"/>
      </w:rPr>
    </w:lvl>
    <w:lvl w:ilvl="5" w:tentative="0">
      <w:start w:val="1"/>
      <w:numFmt w:val="decimal"/>
      <w:lvlText w:val="%1.%2.%3.%4.%5.%6."/>
      <w:lvlJc w:val="left"/>
      <w:pPr>
        <w:ind w:left="2855" w:hanging="1440"/>
      </w:pPr>
      <w:rPr>
        <w:rFonts w:hint="default"/>
      </w:rPr>
    </w:lvl>
    <w:lvl w:ilvl="6" w:tentative="0">
      <w:start w:val="1"/>
      <w:numFmt w:val="decimal"/>
      <w:lvlText w:val="%1.%2.%3.%4.%5.%6.%7."/>
      <w:lvlJc w:val="left"/>
      <w:pPr>
        <w:ind w:left="3498" w:hanging="1800"/>
      </w:pPr>
      <w:rPr>
        <w:rFonts w:hint="default"/>
      </w:rPr>
    </w:lvl>
    <w:lvl w:ilvl="7" w:tentative="0">
      <w:start w:val="1"/>
      <w:numFmt w:val="decimal"/>
      <w:lvlText w:val="%1.%2.%3.%4.%5.%6.%7.%8."/>
      <w:lvlJc w:val="left"/>
      <w:pPr>
        <w:ind w:left="3781" w:hanging="1800"/>
      </w:pPr>
      <w:rPr>
        <w:rFonts w:hint="default"/>
      </w:rPr>
    </w:lvl>
    <w:lvl w:ilvl="8" w:tentative="0">
      <w:start w:val="1"/>
      <w:numFmt w:val="decimal"/>
      <w:lvlText w:val="%1.%2.%3.%4.%5.%6.%7.%8.%9."/>
      <w:lvlJc w:val="left"/>
      <w:pPr>
        <w:ind w:left="4424" w:hanging="2160"/>
      </w:pPr>
      <w:rPr>
        <w:rFonts w:hint="default"/>
      </w:rPr>
    </w:lvl>
  </w:abstractNum>
  <w:abstractNum w:abstractNumId="6">
    <w:nsid w:val="2F9F1700"/>
    <w:multiLevelType w:val="multilevel"/>
    <w:tmpl w:val="2F9F1700"/>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7">
    <w:nsid w:val="3D2C065D"/>
    <w:multiLevelType w:val="multilevel"/>
    <w:tmpl w:val="3D2C065D"/>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8">
    <w:nsid w:val="3FE57FB2"/>
    <w:multiLevelType w:val="multilevel"/>
    <w:tmpl w:val="3FE57FB2"/>
    <w:lvl w:ilvl="0" w:tentative="0">
      <w:start w:val="1"/>
      <w:numFmt w:val="decimal"/>
      <w:lvlText w:val="%1)"/>
      <w:lvlJc w:val="left"/>
      <w:pPr>
        <w:ind w:left="927" w:hanging="360"/>
      </w:pPr>
      <w:rPr>
        <w:rFonts w:hint="default" w:ascii="Gotham Pro" w:hAnsi="Gotham Pro" w:eastAsia="Times New Roman" w:cs="Gotham Pro"/>
        <w:sz w:val="24"/>
        <w:szCs w:val="24"/>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9">
    <w:nsid w:val="4A3B07D9"/>
    <w:multiLevelType w:val="multilevel"/>
    <w:tmpl w:val="4A3B07D9"/>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0">
    <w:nsid w:val="534F51AE"/>
    <w:multiLevelType w:val="singleLevel"/>
    <w:tmpl w:val="534F51AE"/>
    <w:lvl w:ilvl="0" w:tentative="0">
      <w:start w:val="1"/>
      <w:numFmt w:val="decimal"/>
      <w:suff w:val="space"/>
      <w:lvlText w:val="%1)"/>
      <w:lvlJc w:val="left"/>
    </w:lvl>
  </w:abstractNum>
  <w:abstractNum w:abstractNumId="11">
    <w:nsid w:val="61497235"/>
    <w:multiLevelType w:val="multilevel"/>
    <w:tmpl w:val="61497235"/>
    <w:lvl w:ilvl="0" w:tentative="0">
      <w:start w:val="1"/>
      <w:numFmt w:val="decimal"/>
      <w:lvlText w:val="%1)"/>
      <w:lvlJc w:val="left"/>
      <w:pPr>
        <w:ind w:left="1422" w:hanging="855"/>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abstractNum w:abstractNumId="12">
    <w:nsid w:val="624F5314"/>
    <w:multiLevelType w:val="singleLevel"/>
    <w:tmpl w:val="624F5314"/>
    <w:lvl w:ilvl="0" w:tentative="0">
      <w:start w:val="7"/>
      <w:numFmt w:val="decimal"/>
      <w:suff w:val="space"/>
      <w:lvlText w:val="%1."/>
      <w:lvlJc w:val="left"/>
    </w:lvl>
  </w:abstractNum>
  <w:abstractNum w:abstractNumId="13">
    <w:nsid w:val="6BC24D08"/>
    <w:multiLevelType w:val="multilevel"/>
    <w:tmpl w:val="6BC24D08"/>
    <w:lvl w:ilvl="0" w:tentative="0">
      <w:start w:val="1"/>
      <w:numFmt w:val="decimal"/>
      <w:lvlText w:val="%1)"/>
      <w:lvlJc w:val="left"/>
      <w:pPr>
        <w:ind w:left="720" w:hanging="360"/>
      </w:pPr>
      <w:rPr>
        <w:rFonts w:hint="default"/>
        <w:sz w:val="28"/>
        <w:szCs w:val="28"/>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4">
    <w:nsid w:val="6CF82488"/>
    <w:multiLevelType w:val="multilevel"/>
    <w:tmpl w:val="6CF82488"/>
    <w:lvl w:ilvl="0" w:tentative="0">
      <w:start w:val="1"/>
      <w:numFmt w:val="decimal"/>
      <w:lvlText w:val="%1."/>
      <w:lvlJc w:val="left"/>
      <w:pPr>
        <w:ind w:left="927" w:hanging="360"/>
      </w:pPr>
      <w:rPr>
        <w:rFonts w:hint="default"/>
      </w:rPr>
    </w:lvl>
    <w:lvl w:ilvl="1" w:tentative="0">
      <w:start w:val="1"/>
      <w:numFmt w:val="lowerLetter"/>
      <w:lvlText w:val="%2."/>
      <w:lvlJc w:val="left"/>
      <w:pPr>
        <w:ind w:left="1647" w:hanging="360"/>
      </w:pPr>
    </w:lvl>
    <w:lvl w:ilvl="2" w:tentative="0">
      <w:start w:val="1"/>
      <w:numFmt w:val="lowerRoman"/>
      <w:lvlText w:val="%3."/>
      <w:lvlJc w:val="right"/>
      <w:pPr>
        <w:ind w:left="2367" w:hanging="180"/>
      </w:pPr>
    </w:lvl>
    <w:lvl w:ilvl="3" w:tentative="0">
      <w:start w:val="1"/>
      <w:numFmt w:val="decimal"/>
      <w:lvlText w:val="%4."/>
      <w:lvlJc w:val="left"/>
      <w:pPr>
        <w:ind w:left="3087" w:hanging="360"/>
      </w:pPr>
    </w:lvl>
    <w:lvl w:ilvl="4" w:tentative="0">
      <w:start w:val="1"/>
      <w:numFmt w:val="lowerLetter"/>
      <w:lvlText w:val="%5."/>
      <w:lvlJc w:val="left"/>
      <w:pPr>
        <w:ind w:left="3807" w:hanging="360"/>
      </w:pPr>
    </w:lvl>
    <w:lvl w:ilvl="5" w:tentative="0">
      <w:start w:val="1"/>
      <w:numFmt w:val="lowerRoman"/>
      <w:lvlText w:val="%6."/>
      <w:lvlJc w:val="right"/>
      <w:pPr>
        <w:ind w:left="4527" w:hanging="180"/>
      </w:pPr>
    </w:lvl>
    <w:lvl w:ilvl="6" w:tentative="0">
      <w:start w:val="1"/>
      <w:numFmt w:val="decimal"/>
      <w:lvlText w:val="%7."/>
      <w:lvlJc w:val="left"/>
      <w:pPr>
        <w:ind w:left="5247" w:hanging="360"/>
      </w:pPr>
    </w:lvl>
    <w:lvl w:ilvl="7" w:tentative="0">
      <w:start w:val="1"/>
      <w:numFmt w:val="lowerLetter"/>
      <w:lvlText w:val="%8."/>
      <w:lvlJc w:val="left"/>
      <w:pPr>
        <w:ind w:left="5967" w:hanging="360"/>
      </w:pPr>
    </w:lvl>
    <w:lvl w:ilvl="8" w:tentative="0">
      <w:start w:val="1"/>
      <w:numFmt w:val="lowerRoman"/>
      <w:lvlText w:val="%9."/>
      <w:lvlJc w:val="right"/>
      <w:pPr>
        <w:ind w:left="6687" w:hanging="180"/>
      </w:pPr>
    </w:lvl>
  </w:abstractNum>
  <w:num w:numId="1">
    <w:abstractNumId w:val="4"/>
  </w:num>
  <w:num w:numId="2">
    <w:abstractNumId w:val="2"/>
  </w:num>
  <w:num w:numId="3">
    <w:abstractNumId w:val="10"/>
  </w:num>
  <w:num w:numId="4">
    <w:abstractNumId w:val="11"/>
  </w:num>
  <w:num w:numId="5">
    <w:abstractNumId w:val="7"/>
  </w:num>
  <w:num w:numId="6">
    <w:abstractNumId w:val="1"/>
  </w:num>
  <w:num w:numId="7">
    <w:abstractNumId w:val="6"/>
  </w:num>
  <w:num w:numId="8">
    <w:abstractNumId w:val="13"/>
  </w:num>
  <w:num w:numId="9">
    <w:abstractNumId w:val="3"/>
  </w:num>
  <w:num w:numId="10">
    <w:abstractNumId w:val="0"/>
  </w:num>
  <w:num w:numId="11">
    <w:abstractNumId w:val="14"/>
  </w:num>
  <w:num w:numId="12">
    <w:abstractNumId w:val="5"/>
  </w:num>
  <w:num w:numId="13">
    <w:abstractNumId w:val="12"/>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708"/>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doNotExpandShiftReturn/>
    <w:doNotWrapTextWithPunct/>
    <w:doNotUseEastAsianBreakRules/>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A04"/>
    <w:rsid w:val="00011CE2"/>
    <w:rsid w:val="000317E4"/>
    <w:rsid w:val="0005093A"/>
    <w:rsid w:val="00054797"/>
    <w:rsid w:val="00116FB5"/>
    <w:rsid w:val="001568C0"/>
    <w:rsid w:val="001654E5"/>
    <w:rsid w:val="00177D57"/>
    <w:rsid w:val="001B3F5B"/>
    <w:rsid w:val="001C1662"/>
    <w:rsid w:val="002851E1"/>
    <w:rsid w:val="002C28C1"/>
    <w:rsid w:val="003212E4"/>
    <w:rsid w:val="00366AE6"/>
    <w:rsid w:val="00373BE3"/>
    <w:rsid w:val="003B28AD"/>
    <w:rsid w:val="003C2867"/>
    <w:rsid w:val="00575265"/>
    <w:rsid w:val="005F1D44"/>
    <w:rsid w:val="00600E93"/>
    <w:rsid w:val="006221E3"/>
    <w:rsid w:val="00687A25"/>
    <w:rsid w:val="006E0487"/>
    <w:rsid w:val="00734C54"/>
    <w:rsid w:val="00745450"/>
    <w:rsid w:val="00776083"/>
    <w:rsid w:val="00784658"/>
    <w:rsid w:val="007B5A67"/>
    <w:rsid w:val="007B7D74"/>
    <w:rsid w:val="007E62F7"/>
    <w:rsid w:val="008179E7"/>
    <w:rsid w:val="008E3B89"/>
    <w:rsid w:val="008E598A"/>
    <w:rsid w:val="00987553"/>
    <w:rsid w:val="00A13298"/>
    <w:rsid w:val="00AC7257"/>
    <w:rsid w:val="00B03A04"/>
    <w:rsid w:val="00BF7D87"/>
    <w:rsid w:val="00C051AC"/>
    <w:rsid w:val="00C20B7D"/>
    <w:rsid w:val="00C825E8"/>
    <w:rsid w:val="00CB12A9"/>
    <w:rsid w:val="00CD0E48"/>
    <w:rsid w:val="00CD384A"/>
    <w:rsid w:val="00D33CFD"/>
    <w:rsid w:val="00E92D8E"/>
    <w:rsid w:val="00EC35BC"/>
    <w:rsid w:val="00FB46A2"/>
    <w:rsid w:val="02994648"/>
    <w:rsid w:val="03B95303"/>
    <w:rsid w:val="046659E1"/>
    <w:rsid w:val="04C42EA2"/>
    <w:rsid w:val="055151D9"/>
    <w:rsid w:val="0DD171EE"/>
    <w:rsid w:val="187118AD"/>
    <w:rsid w:val="309C6F6C"/>
    <w:rsid w:val="4ADB30C0"/>
    <w:rsid w:val="4DA5150B"/>
    <w:rsid w:val="53753FB2"/>
    <w:rsid w:val="58AA38A4"/>
    <w:rsid w:val="67F22C22"/>
    <w:rsid w:val="78D8547C"/>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qFormat="1" w:unhideWhenUsed="0" w:uiPriority="1" w:semiHidden="0" w:name="No Spacing"/>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header"/>
    <w:basedOn w:val="1"/>
    <w:link w:val="9"/>
    <w:unhideWhenUsed/>
    <w:qFormat/>
    <w:uiPriority w:val="99"/>
    <w:pPr>
      <w:tabs>
        <w:tab w:val="center" w:pos="4677"/>
        <w:tab w:val="right" w:pos="9355"/>
      </w:tabs>
      <w:spacing w:after="0" w:line="240" w:lineRule="auto"/>
    </w:pPr>
  </w:style>
  <w:style w:type="paragraph" w:styleId="6">
    <w:name w:val="footer"/>
    <w:basedOn w:val="1"/>
    <w:link w:val="10"/>
    <w:unhideWhenUsed/>
    <w:qFormat/>
    <w:uiPriority w:val="99"/>
    <w:pPr>
      <w:tabs>
        <w:tab w:val="center" w:pos="4677"/>
        <w:tab w:val="right" w:pos="9355"/>
      </w:tabs>
      <w:spacing w:after="0" w:line="240" w:lineRule="auto"/>
    </w:pPr>
  </w:style>
  <w:style w:type="paragraph" w:styleId="7">
    <w:name w:val="Normal (Web)"/>
    <w:basedOn w:val="1"/>
    <w:qFormat/>
    <w:uiPriority w:val="99"/>
    <w:pPr>
      <w:spacing w:before="100" w:beforeAutospacing="1" w:after="100" w:afterAutospacing="1" w:line="240" w:lineRule="auto"/>
    </w:pPr>
    <w:rPr>
      <w:rFonts w:ascii="Times New Roman" w:hAnsi="Times New Roman" w:eastAsia="Times New Roman" w:cs="Times New Roman"/>
      <w:sz w:val="24"/>
      <w:szCs w:val="24"/>
    </w:rPr>
  </w:style>
  <w:style w:type="table" w:styleId="8">
    <w:name w:val="Table Grid"/>
    <w:basedOn w:val="3"/>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Верхний колонтитул Знак"/>
    <w:basedOn w:val="2"/>
    <w:link w:val="5"/>
    <w:qFormat/>
    <w:uiPriority w:val="99"/>
  </w:style>
  <w:style w:type="character" w:customStyle="1" w:styleId="10">
    <w:name w:val="Нижний колонтитул Знак"/>
    <w:basedOn w:val="2"/>
    <w:link w:val="6"/>
    <w:qFormat/>
    <w:uiPriority w:val="99"/>
  </w:style>
  <w:style w:type="paragraph" w:styleId="11">
    <w:name w:val="No Spacing"/>
    <w:link w:val="13"/>
    <w:qFormat/>
    <w:uiPriority w:val="1"/>
    <w:pPr>
      <w:spacing w:after="0" w:line="240" w:lineRule="auto"/>
    </w:pPr>
    <w:rPr>
      <w:rFonts w:asciiTheme="minorHAnsi" w:hAnsiTheme="minorHAnsi" w:eastAsiaTheme="minorEastAsia" w:cstheme="minorBidi"/>
      <w:sz w:val="22"/>
      <w:szCs w:val="22"/>
      <w:lang w:val="ru-RU" w:eastAsia="ru-RU" w:bidi="ar-SA"/>
    </w:rPr>
  </w:style>
  <w:style w:type="table" w:customStyle="1" w:styleId="12">
    <w:name w:val="Table Grid Report1"/>
    <w:basedOn w:val="3"/>
    <w:qFormat/>
    <w:uiPriority w:val="39"/>
    <w:pPr>
      <w:spacing w:after="0" w:line="240" w:lineRule="auto"/>
    </w:pPr>
    <w:rPr>
      <w:rFonts w:ascii="Times New Roman" w:hAnsi="Times New Roman" w:eastAsia="Times New Roman" w:cs="Times New Roman"/>
      <w:sz w:val="20"/>
      <w:szCs w:val="20"/>
      <w:lang w:val="en-US"/>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customStyle="1" w:styleId="13">
    <w:name w:val="Без интервала Знак"/>
    <w:basedOn w:val="2"/>
    <w:link w:val="11"/>
    <w:qFormat/>
    <w:uiPriority w:val="1"/>
    <w:rPr>
      <w:rFonts w:asciiTheme="minorHAnsi" w:hAnsiTheme="minorHAnsi" w:eastAsiaTheme="minorEastAsia" w:cstheme="minorBidi"/>
      <w:sz w:val="22"/>
      <w:szCs w:val="22"/>
      <w:lang w:val="ru-RU" w:eastAsia="ru-RU" w:bidi="ar-SA"/>
    </w:rPr>
  </w:style>
  <w:style w:type="paragraph" w:customStyle="1" w:styleId="14">
    <w:name w:val="_Таблица текст"/>
    <w:basedOn w:val="15"/>
    <w:next w:val="15"/>
    <w:qFormat/>
    <w:uiPriority w:val="0"/>
    <w:pPr>
      <w:snapToGrid w:val="0"/>
      <w:spacing w:after="0" w:line="240" w:lineRule="auto"/>
      <w:contextualSpacing/>
      <w:jc w:val="center"/>
    </w:pPr>
    <w:rPr>
      <w:rFonts w:ascii="Times New Roman" w:hAnsi="Times New Roman" w:cs="Times New Roman"/>
      <w:sz w:val="20"/>
      <w:szCs w:val="26"/>
    </w:rPr>
  </w:style>
  <w:style w:type="paragraph" w:customStyle="1" w:styleId="15">
    <w:name w:val="_Обычный"/>
    <w:basedOn w:val="1"/>
    <w:qFormat/>
    <w:uiPriority w:val="0"/>
    <w:pPr>
      <w:snapToGrid w:val="0"/>
      <w:spacing w:before="120" w:after="120" w:line="240" w:lineRule="auto"/>
      <w:ind w:firstLine="567"/>
      <w:contextualSpacing/>
      <w:jc w:val="both"/>
    </w:pPr>
    <w:rPr>
      <w:rFonts w:ascii="Times New Roman" w:hAnsi="Times New Roman" w:eastAsiaTheme="minorEastAsia"/>
      <w:iCs/>
      <w:sz w:val="24"/>
      <w:szCs w:val="26"/>
    </w:rPr>
  </w:style>
  <w:style w:type="paragraph" w:customStyle="1" w:styleId="16">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character" w:customStyle="1" w:styleId="17">
    <w:name w:val="search_result"/>
    <w:basedOn w:val="2"/>
    <w:qFormat/>
    <w:uiPriority w:val="0"/>
  </w:style>
  <w:style w:type="character" w:customStyle="1" w:styleId="18">
    <w:name w:val="Font Style74"/>
    <w:qFormat/>
    <w:uiPriority w:val="0"/>
    <w:rPr>
      <w:rFonts w:ascii="Times New Roman" w:hAnsi="Times New Roman" w:cs="Times New Roman"/>
      <w:sz w:val="26"/>
      <w:szCs w:val="26"/>
    </w:rPr>
  </w:style>
  <w:style w:type="character" w:customStyle="1" w:styleId="19">
    <w:name w:val="Font Style127"/>
    <w:qFormat/>
    <w:uiPriority w:val="0"/>
    <w:rPr>
      <w:rFonts w:ascii="Times New Roman" w:hAnsi="Times New Roman" w:cs="Times New Roman"/>
      <w:sz w:val="22"/>
      <w:szCs w:val="22"/>
    </w:rPr>
  </w:style>
  <w:style w:type="paragraph" w:customStyle="1" w:styleId="20">
    <w:name w:val="Обычный с первой строкой"/>
    <w:basedOn w:val="1"/>
    <w:qFormat/>
    <w:uiPriority w:val="0"/>
    <w:pPr>
      <w:suppressAutoHyphens/>
      <w:spacing w:after="0" w:line="240" w:lineRule="auto"/>
      <w:ind w:firstLine="567"/>
      <w:jc w:val="both"/>
    </w:pPr>
    <w:rPr>
      <w:rFonts w:ascii="Times New Roman" w:hAnsi="Times New Roman" w:eastAsia="Times New Roman" w:cs="Times New Roman"/>
      <w:sz w:val="28"/>
      <w:szCs w:val="28"/>
      <w:lang w:eastAsia="ar-SA"/>
    </w:rPr>
  </w:style>
  <w:style w:type="paragraph" w:customStyle="1" w:styleId="21">
    <w:name w:val="Стандарт"/>
    <w:basedOn w:val="1"/>
    <w:qFormat/>
    <w:uiPriority w:val="0"/>
    <w:pPr>
      <w:tabs>
        <w:tab w:val="left" w:pos="0"/>
      </w:tabs>
      <w:spacing w:after="0" w:line="360" w:lineRule="auto"/>
      <w:ind w:firstLine="709"/>
      <w:jc w:val="both"/>
    </w:pPr>
    <w:rPr>
      <w:rFonts w:ascii="Times New Roman" w:hAnsi="Times New Roman" w:eastAsia="Calibri" w:cs="Times New Roman"/>
      <w:sz w:val="24"/>
      <w:szCs w:val="24"/>
      <w:lang w:eastAsia="en-US"/>
    </w:rPr>
  </w:style>
  <w:style w:type="paragraph" w:styleId="22">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image" Target="media/image8.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20.png"/><Relationship Id="rId20" Type="http://schemas.openxmlformats.org/officeDocument/2006/relationships/image" Target="media/image19.png"/><Relationship Id="rId2" Type="http://schemas.openxmlformats.org/officeDocument/2006/relationships/settings" Target="settings.xml"/><Relationship Id="rId19" Type="http://schemas.openxmlformats.org/officeDocument/2006/relationships/image" Target="media/image18.png"/><Relationship Id="rId18" Type="http://schemas.openxmlformats.org/officeDocument/2006/relationships/image" Target="media/image17.png"/><Relationship Id="rId17" Type="http://schemas.openxmlformats.org/officeDocument/2006/relationships/image" Target="media/image16.png"/><Relationship Id="rId16" Type="http://schemas.openxmlformats.org/officeDocument/2006/relationships/image" Target="media/image15.png"/><Relationship Id="rId15" Type="http://schemas.openxmlformats.org/officeDocument/2006/relationships/image" Target="media/image14.png"/><Relationship Id="rId14" Type="http://schemas.openxmlformats.org/officeDocument/2006/relationships/image" Target="media/image13.png"/><Relationship Id="rId13" Type="http://schemas.openxmlformats.org/officeDocument/2006/relationships/image" Target="media/image12.png"/><Relationship Id="rId12" Type="http://schemas.openxmlformats.org/officeDocument/2006/relationships/image" Target="media/image11.png"/><Relationship Id="rId11" Type="http://schemas.openxmlformats.org/officeDocument/2006/relationships/image" Target="media/image10.png"/><Relationship Id="rId10" Type="http://schemas.openxmlformats.org/officeDocument/2006/relationships/image" Target="media/image9.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4" Type="http://schemas.openxmlformats.org/officeDocument/2006/relationships/image" Target="media/image7.png"/><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2058"/>
    <customShpInfo spid="_x0000_s1026" textRotate="1"/>
    <customShpInfo spid="_x0000_s2059"/>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FD40051-A9C5-49BF-AF58-C00DDF243C50}">
  <ds:schemaRefs/>
</ds:datastoreItem>
</file>

<file path=docProps/app.xml><?xml version="1.0" encoding="utf-8"?>
<Properties xmlns="http://schemas.openxmlformats.org/officeDocument/2006/extended-properties" xmlns:vt="http://schemas.openxmlformats.org/officeDocument/2006/docPropsVTypes">
  <Template>Normal</Template>
  <Pages>129</Pages>
  <Words>28475</Words>
  <Characters>208539</Characters>
  <Lines>7</Lines>
  <Paragraphs>2</Paragraphs>
  <TotalTime>62</TotalTime>
  <ScaleCrop>false</ScaleCrop>
  <LinksUpToDate>false</LinksUpToDate>
  <CharactersWithSpaces>234227</CharactersWithSpaces>
  <Application>WPS Office_12.2.0.13412_F1E327BC-269C-435d-A152-05C5408002CA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2023-10-15T08:32:00Z</dcterms:created>
  <dc:creator>Артем</dc:creator>
  <cp:lastModifiedBy>Honor 2023</cp:lastModifiedBy>
  <cp:lastPrinted>2023-10-15T10:45:00Z</cp:lastPrinted>
  <dcterms:modified xsi:type="dcterms:W3CDTF">2024-01-18T04:20:18Z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1049-12.2.0.13412</vt:lpwstr>
  </property>
  <property fmtid="{D5CDD505-2E9C-101B-9397-08002B2CF9AE}" pid="3" name="ICV">
    <vt:lpwstr>58C6AD5140C6465C9D31B0D73745D30A_12</vt:lpwstr>
  </property>
</Properties>
</file>